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ayout w:type="fixed"/>
        <w:tblLook w:val="0000" w:firstRow="0" w:lastRow="0" w:firstColumn="0" w:lastColumn="0" w:noHBand="0" w:noVBand="0"/>
      </w:tblPr>
      <w:tblGrid>
        <w:gridCol w:w="630"/>
        <w:gridCol w:w="450"/>
        <w:gridCol w:w="90"/>
        <w:gridCol w:w="8730"/>
      </w:tblGrid>
      <w:tr w:rsidR="006F52CE" w:rsidRPr="00012344" w:rsidTr="004A1D17">
        <w:tc>
          <w:tcPr>
            <w:tcW w:w="9900" w:type="dxa"/>
            <w:gridSpan w:val="4"/>
          </w:tcPr>
          <w:p w:rsidR="006F52CE" w:rsidRPr="00012344" w:rsidRDefault="006F52CE" w:rsidP="004A1D17">
            <w:pPr>
              <w:ind w:right="-198"/>
              <w:jc w:val="center"/>
              <w:rPr>
                <w:rFonts w:ascii="Arial" w:hAnsi="Arial" w:cs="Arial"/>
                <w:b/>
                <w:szCs w:val="24"/>
              </w:rPr>
            </w:pPr>
          </w:p>
        </w:tc>
      </w:tr>
      <w:tr w:rsidR="00BD2432" w:rsidRPr="00012344" w:rsidTr="004A1D17">
        <w:tc>
          <w:tcPr>
            <w:tcW w:w="9900" w:type="dxa"/>
            <w:gridSpan w:val="4"/>
          </w:tcPr>
          <w:p w:rsidR="00BD2432" w:rsidRPr="00012344" w:rsidRDefault="005A725F" w:rsidP="004A1D17">
            <w:pPr>
              <w:jc w:val="center"/>
              <w:rPr>
                <w:rFonts w:ascii="Arial" w:hAnsi="Arial" w:cs="Arial"/>
                <w:szCs w:val="24"/>
              </w:rPr>
            </w:pPr>
            <w:r w:rsidRPr="00012344">
              <w:rPr>
                <w:rFonts w:ascii="Arial" w:hAnsi="Arial" w:cs="Arial"/>
                <w:b/>
                <w:szCs w:val="24"/>
              </w:rPr>
              <w:t>201</w:t>
            </w:r>
            <w:r w:rsidR="004A1D17">
              <w:rPr>
                <w:rFonts w:ascii="Arial" w:hAnsi="Arial" w:cs="Arial"/>
                <w:b/>
                <w:szCs w:val="24"/>
              </w:rPr>
              <w:t xml:space="preserve">7-21 </w:t>
            </w:r>
            <w:r w:rsidR="006010D0" w:rsidRPr="00012344">
              <w:rPr>
                <w:rFonts w:ascii="Arial" w:hAnsi="Arial" w:cs="Arial"/>
                <w:b/>
                <w:szCs w:val="24"/>
              </w:rPr>
              <w:t>FISCAL</w:t>
            </w:r>
            <w:r w:rsidR="004177DD">
              <w:rPr>
                <w:rFonts w:ascii="Arial" w:hAnsi="Arial" w:cs="Arial"/>
                <w:b/>
                <w:szCs w:val="24"/>
              </w:rPr>
              <w:t xml:space="preserve"> /</w:t>
            </w:r>
            <w:r w:rsidR="00972302" w:rsidRPr="00012344">
              <w:rPr>
                <w:rFonts w:ascii="Arial" w:hAnsi="Arial" w:cs="Arial"/>
                <w:b/>
                <w:szCs w:val="24"/>
              </w:rPr>
              <w:t xml:space="preserve"> </w:t>
            </w:r>
            <w:r w:rsidR="00290EBE" w:rsidRPr="00012344">
              <w:rPr>
                <w:rFonts w:ascii="Arial" w:hAnsi="Arial" w:cs="Arial"/>
                <w:b/>
                <w:szCs w:val="24"/>
              </w:rPr>
              <w:t xml:space="preserve">BUDGET </w:t>
            </w:r>
            <w:r w:rsidR="00972302" w:rsidRPr="00012344">
              <w:rPr>
                <w:rFonts w:ascii="Arial" w:hAnsi="Arial" w:cs="Arial"/>
                <w:b/>
                <w:szCs w:val="24"/>
              </w:rPr>
              <w:t>STANDARDS</w:t>
            </w:r>
            <w:r w:rsidR="00F35D62" w:rsidRPr="00012344">
              <w:rPr>
                <w:rFonts w:ascii="Arial" w:hAnsi="Arial" w:cs="Arial"/>
                <w:b/>
                <w:szCs w:val="24"/>
              </w:rPr>
              <w:t xml:space="preserve"> </w:t>
            </w:r>
          </w:p>
        </w:tc>
      </w:tr>
      <w:tr w:rsidR="00E04386" w:rsidRPr="00012344" w:rsidTr="004A1D17">
        <w:trPr>
          <w:cantSplit/>
        </w:trPr>
        <w:tc>
          <w:tcPr>
            <w:tcW w:w="9900" w:type="dxa"/>
            <w:gridSpan w:val="4"/>
          </w:tcPr>
          <w:p w:rsidR="00E04386" w:rsidRPr="00012344" w:rsidRDefault="00E04386" w:rsidP="00F35D62">
            <w:pPr>
              <w:jc w:val="both"/>
              <w:rPr>
                <w:rFonts w:ascii="Arial" w:hAnsi="Arial" w:cs="Arial"/>
                <w:szCs w:val="24"/>
              </w:rPr>
            </w:pPr>
          </w:p>
        </w:tc>
      </w:tr>
      <w:tr w:rsidR="00E04386" w:rsidRPr="00012344" w:rsidTr="004A1D17">
        <w:trPr>
          <w:cantSplit/>
        </w:trPr>
        <w:tc>
          <w:tcPr>
            <w:tcW w:w="9900" w:type="dxa"/>
            <w:gridSpan w:val="4"/>
          </w:tcPr>
          <w:p w:rsidR="00E04386" w:rsidRDefault="00E04386" w:rsidP="00E04386">
            <w:pPr>
              <w:jc w:val="both"/>
              <w:rPr>
                <w:rFonts w:ascii="Arial" w:hAnsi="Arial" w:cs="Arial"/>
                <w:szCs w:val="24"/>
              </w:rPr>
            </w:pPr>
            <w:r>
              <w:rPr>
                <w:rFonts w:ascii="Arial" w:hAnsi="Arial" w:cs="Arial"/>
                <w:b/>
                <w:bCs/>
                <w:szCs w:val="24"/>
              </w:rPr>
              <w:t>Program</w:t>
            </w:r>
            <w:r>
              <w:rPr>
                <w:rFonts w:ascii="Arial" w:hAnsi="Arial" w:cs="Arial"/>
                <w:b/>
                <w:bCs/>
                <w:spacing w:val="23"/>
                <w:szCs w:val="24"/>
              </w:rPr>
              <w:t xml:space="preserve"> </w:t>
            </w:r>
            <w:r>
              <w:rPr>
                <w:rFonts w:ascii="Arial" w:hAnsi="Arial" w:cs="Arial"/>
                <w:b/>
                <w:bCs/>
                <w:szCs w:val="24"/>
              </w:rPr>
              <w:t>Requirements</w:t>
            </w:r>
            <w:r>
              <w:rPr>
                <w:rFonts w:ascii="Arial" w:hAnsi="Arial" w:cs="Arial"/>
                <w:b/>
                <w:bCs/>
                <w:spacing w:val="24"/>
                <w:szCs w:val="24"/>
              </w:rPr>
              <w:t xml:space="preserve"> </w:t>
            </w:r>
            <w:r>
              <w:rPr>
                <w:rFonts w:ascii="Arial" w:hAnsi="Arial" w:cs="Arial"/>
                <w:szCs w:val="24"/>
              </w:rPr>
              <w:t>means</w:t>
            </w:r>
            <w:r>
              <w:rPr>
                <w:rFonts w:ascii="Arial" w:hAnsi="Arial" w:cs="Arial"/>
                <w:spacing w:val="23"/>
                <w:szCs w:val="24"/>
              </w:rPr>
              <w:t xml:space="preserve"> </w:t>
            </w:r>
            <w:r>
              <w:rPr>
                <w:rFonts w:ascii="Arial" w:hAnsi="Arial" w:cs="Arial"/>
                <w:szCs w:val="24"/>
              </w:rPr>
              <w:t>Title</w:t>
            </w:r>
            <w:r>
              <w:rPr>
                <w:rFonts w:ascii="Arial" w:hAnsi="Arial" w:cs="Arial"/>
                <w:spacing w:val="23"/>
                <w:szCs w:val="24"/>
              </w:rPr>
              <w:t xml:space="preserve"> </w:t>
            </w:r>
            <w:r>
              <w:rPr>
                <w:rFonts w:ascii="Arial" w:hAnsi="Arial" w:cs="Arial"/>
                <w:szCs w:val="24"/>
              </w:rPr>
              <w:t>III</w:t>
            </w:r>
            <w:r>
              <w:rPr>
                <w:rFonts w:ascii="Arial" w:hAnsi="Arial" w:cs="Arial"/>
                <w:spacing w:val="23"/>
                <w:szCs w:val="24"/>
              </w:rPr>
              <w:t xml:space="preserve"> </w:t>
            </w:r>
            <w:r>
              <w:rPr>
                <w:rFonts w:ascii="Arial" w:hAnsi="Arial" w:cs="Arial"/>
                <w:szCs w:val="24"/>
              </w:rPr>
              <w:t>program</w:t>
            </w:r>
            <w:r>
              <w:rPr>
                <w:rFonts w:ascii="Arial" w:hAnsi="Arial" w:cs="Arial"/>
                <w:spacing w:val="23"/>
                <w:szCs w:val="24"/>
              </w:rPr>
              <w:t xml:space="preserve"> </w:t>
            </w:r>
            <w:r>
              <w:rPr>
                <w:rFonts w:ascii="Arial" w:hAnsi="Arial" w:cs="Arial"/>
                <w:szCs w:val="24"/>
              </w:rPr>
              <w:t>requirements</w:t>
            </w:r>
            <w:r>
              <w:rPr>
                <w:rFonts w:ascii="Arial" w:hAnsi="Arial" w:cs="Arial"/>
                <w:spacing w:val="23"/>
                <w:szCs w:val="24"/>
              </w:rPr>
              <w:t xml:space="preserve"> </w:t>
            </w:r>
            <w:r>
              <w:rPr>
                <w:rFonts w:ascii="Arial" w:hAnsi="Arial" w:cs="Arial"/>
                <w:szCs w:val="24"/>
              </w:rPr>
              <w:t>found</w:t>
            </w:r>
            <w:r>
              <w:rPr>
                <w:rFonts w:ascii="Arial" w:hAnsi="Arial" w:cs="Arial"/>
                <w:spacing w:val="23"/>
                <w:szCs w:val="24"/>
              </w:rPr>
              <w:t xml:space="preserve"> </w:t>
            </w:r>
            <w:r>
              <w:rPr>
                <w:rFonts w:ascii="Arial" w:hAnsi="Arial" w:cs="Arial"/>
                <w:szCs w:val="24"/>
              </w:rPr>
              <w:t>in</w:t>
            </w:r>
            <w:r>
              <w:rPr>
                <w:rFonts w:ascii="Arial" w:hAnsi="Arial" w:cs="Arial"/>
                <w:spacing w:val="23"/>
                <w:szCs w:val="24"/>
              </w:rPr>
              <w:t xml:space="preserve"> </w:t>
            </w:r>
            <w:r>
              <w:rPr>
                <w:rFonts w:ascii="Arial" w:hAnsi="Arial" w:cs="Arial"/>
                <w:szCs w:val="24"/>
              </w:rPr>
              <w:t xml:space="preserve">the </w:t>
            </w:r>
          </w:p>
          <w:p w:rsidR="00E04386" w:rsidRDefault="00E04386" w:rsidP="00E04386">
            <w:pPr>
              <w:pStyle w:val="ListParagraph"/>
              <w:numPr>
                <w:ilvl w:val="0"/>
                <w:numId w:val="6"/>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proofErr w:type="spellStart"/>
            <w:r>
              <w:rPr>
                <w:rFonts w:ascii="Arial" w:hAnsi="Arial" w:cs="Arial"/>
                <w:szCs w:val="24"/>
              </w:rPr>
              <w:t>OAA</w:t>
            </w:r>
            <w:proofErr w:type="spellEnd"/>
            <w:r>
              <w:rPr>
                <w:rFonts w:ascii="Arial" w:hAnsi="Arial" w:cs="Arial"/>
                <w:szCs w:val="24"/>
              </w:rPr>
              <w:t>)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9"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E04386" w:rsidRDefault="00E04386" w:rsidP="00E04386">
            <w:pPr>
              <w:pStyle w:val="ListParagraph"/>
              <w:numPr>
                <w:ilvl w:val="0"/>
                <w:numId w:val="6"/>
              </w:numPr>
              <w:jc w:val="both"/>
              <w:rPr>
                <w:rFonts w:ascii="Arial" w:hAnsi="Arial" w:cs="Arial"/>
                <w:spacing w:val="22"/>
                <w:szCs w:val="24"/>
              </w:rPr>
            </w:pPr>
            <w:r>
              <w:rPr>
                <w:rFonts w:ascii="Arial" w:hAnsi="Arial" w:cs="Arial"/>
                <w:szCs w:val="24"/>
              </w:rPr>
              <w:t xml:space="preserve">Older Californians Act  </w:t>
            </w:r>
            <w:hyperlink r:id="rId10" w:history="1">
              <w:r>
                <w:rPr>
                  <w:rStyle w:val="Hyperlink"/>
                  <w:rFonts w:ascii="Arial" w:hAnsi="Arial" w:cs="Arial"/>
                  <w:szCs w:val="24"/>
                </w:rPr>
                <w:t>https://www.aging.ca.gov/AboutCDA/Older_CA_Act.aspx</w:t>
              </w:r>
            </w:hyperlink>
            <w:r>
              <w:rPr>
                <w:rFonts w:ascii="Arial" w:hAnsi="Arial" w:cs="Arial"/>
                <w:szCs w:val="24"/>
              </w:rPr>
              <w:t>;</w:t>
            </w:r>
          </w:p>
          <w:p w:rsidR="00E04386" w:rsidRDefault="00E04386" w:rsidP="00E04386">
            <w:pPr>
              <w:pStyle w:val="ListParagraph"/>
              <w:numPr>
                <w:ilvl w:val="0"/>
                <w:numId w:val="6"/>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w:t>
            </w:r>
            <w:proofErr w:type="spellStart"/>
            <w:r>
              <w:rPr>
                <w:rFonts w:ascii="Arial" w:hAnsi="Arial" w:cs="Arial"/>
                <w:szCs w:val="24"/>
              </w:rPr>
              <w:t>CFR</w:t>
            </w:r>
            <w:proofErr w:type="spellEnd"/>
            <w:r>
              <w:rPr>
                <w:rFonts w:ascii="Arial" w:hAnsi="Arial" w:cs="Arial"/>
                <w:szCs w:val="24"/>
              </w:rPr>
              <w:t>)</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proofErr w:type="spellStart"/>
            <w:r>
              <w:rPr>
                <w:rFonts w:ascii="Arial" w:hAnsi="Arial" w:cs="Arial"/>
                <w:szCs w:val="24"/>
              </w:rPr>
              <w:t>CFR</w:t>
            </w:r>
            <w:proofErr w:type="spellEnd"/>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E04386" w:rsidRDefault="00E04386" w:rsidP="00E04386">
            <w:pPr>
              <w:pStyle w:val="ListParagraph"/>
              <w:numPr>
                <w:ilvl w:val="0"/>
                <w:numId w:val="6"/>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 xml:space="preserve">(22 </w:t>
            </w:r>
            <w:proofErr w:type="spellStart"/>
            <w:r>
              <w:rPr>
                <w:rFonts w:ascii="Arial" w:hAnsi="Arial" w:cs="Arial"/>
                <w:szCs w:val="24"/>
              </w:rPr>
              <w:t>CCR</w:t>
            </w:r>
            <w:proofErr w:type="spellEnd"/>
            <w:r>
              <w:rPr>
                <w:rFonts w:ascii="Arial" w:hAnsi="Arial" w:cs="Arial"/>
                <w:szCs w:val="24"/>
              </w:rPr>
              <w:t xml:space="preserve">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E04386" w:rsidRDefault="00E04386" w:rsidP="00E04386">
            <w:pPr>
              <w:pStyle w:val="ListParagraph"/>
              <w:numPr>
                <w:ilvl w:val="0"/>
                <w:numId w:val="6"/>
              </w:numPr>
              <w:jc w:val="both"/>
              <w:rPr>
                <w:rFonts w:ascii="Arial" w:hAnsi="Arial" w:cs="Arial"/>
                <w:b/>
                <w:bCs/>
                <w:szCs w:val="24"/>
              </w:rPr>
            </w:pPr>
            <w:r>
              <w:rPr>
                <w:rFonts w:ascii="Arial" w:hAnsi="Arial" w:cs="Arial"/>
                <w:szCs w:val="24"/>
              </w:rPr>
              <w:t>California Department of Aging (</w:t>
            </w:r>
            <w:proofErr w:type="spellStart"/>
            <w:r>
              <w:rPr>
                <w:rFonts w:ascii="Arial" w:hAnsi="Arial" w:cs="Arial"/>
                <w:szCs w:val="24"/>
              </w:rPr>
              <w:t>CDA</w:t>
            </w:r>
            <w:proofErr w:type="spellEnd"/>
            <w:r>
              <w:rPr>
                <w:rFonts w:ascii="Arial" w:hAnsi="Arial" w:cs="Arial"/>
                <w:szCs w:val="24"/>
              </w:rPr>
              <w:t>) Prog</w:t>
            </w:r>
            <w:r>
              <w:rPr>
                <w:rFonts w:ascii="Arial" w:hAnsi="Arial" w:cs="Arial"/>
                <w:spacing w:val="2"/>
                <w:szCs w:val="24"/>
              </w:rPr>
              <w:t>r</w:t>
            </w:r>
            <w:r>
              <w:rPr>
                <w:rFonts w:ascii="Arial" w:hAnsi="Arial" w:cs="Arial"/>
                <w:szCs w:val="24"/>
              </w:rPr>
              <w:t>am Memoranda</w:t>
            </w:r>
          </w:p>
          <w:p w:rsidR="00E04386" w:rsidRDefault="00E04386" w:rsidP="00E04386">
            <w:pPr>
              <w:pStyle w:val="ListParagraph"/>
              <w:numPr>
                <w:ilvl w:val="0"/>
                <w:numId w:val="6"/>
              </w:numPr>
              <w:jc w:val="both"/>
              <w:rPr>
                <w:rFonts w:ascii="Arial" w:hAnsi="Arial" w:cs="Arial"/>
                <w:b/>
                <w:bCs/>
                <w:szCs w:val="24"/>
              </w:rPr>
            </w:pPr>
            <w:proofErr w:type="spellStart"/>
            <w:r>
              <w:rPr>
                <w:rFonts w:ascii="Arial" w:hAnsi="Arial" w:cs="Arial"/>
              </w:rPr>
              <w:t>CDA</w:t>
            </w:r>
            <w:proofErr w:type="spellEnd"/>
            <w:r>
              <w:rPr>
                <w:rFonts w:ascii="Arial" w:hAnsi="Arial" w:cs="Arial"/>
              </w:rPr>
              <w:t xml:space="preserve"> Title III Program Manual</w:t>
            </w:r>
          </w:p>
          <w:p w:rsidR="00E04386" w:rsidRPr="00E04386" w:rsidRDefault="00E04386" w:rsidP="00E04386">
            <w:pPr>
              <w:pStyle w:val="ListParagraph"/>
              <w:numPr>
                <w:ilvl w:val="0"/>
                <w:numId w:val="6"/>
              </w:numPr>
            </w:pPr>
            <w:r w:rsidRPr="00E04386">
              <w:rPr>
                <w:rFonts w:ascii="Arial" w:hAnsi="Arial" w:cs="Arial"/>
                <w:szCs w:val="24"/>
              </w:rPr>
              <w:t>San Mateo County Health System policies and procedures</w:t>
            </w:r>
          </w:p>
        </w:tc>
      </w:tr>
      <w:tr w:rsidR="00BD2432" w:rsidRPr="00012344" w:rsidTr="004A1D17">
        <w:trPr>
          <w:cantSplit/>
        </w:trPr>
        <w:tc>
          <w:tcPr>
            <w:tcW w:w="9900" w:type="dxa"/>
            <w:gridSpan w:val="4"/>
          </w:tcPr>
          <w:p w:rsidR="00BD2432" w:rsidRPr="00012344" w:rsidRDefault="00BD2432" w:rsidP="00F35D62">
            <w:pPr>
              <w:jc w:val="both"/>
              <w:rPr>
                <w:rFonts w:ascii="Arial" w:hAnsi="Arial" w:cs="Arial"/>
                <w:szCs w:val="24"/>
              </w:rPr>
            </w:pPr>
          </w:p>
        </w:tc>
      </w:tr>
      <w:tr w:rsidR="003B0D32" w:rsidRPr="00012344" w:rsidTr="004A1D17">
        <w:trPr>
          <w:cantSplit/>
        </w:trPr>
        <w:tc>
          <w:tcPr>
            <w:tcW w:w="9900" w:type="dxa"/>
            <w:gridSpan w:val="4"/>
          </w:tcPr>
          <w:p w:rsidR="003B0D32" w:rsidRPr="00012344" w:rsidRDefault="003B0D32" w:rsidP="003B578F">
            <w:pPr>
              <w:jc w:val="both"/>
              <w:rPr>
                <w:rFonts w:ascii="Arial" w:hAnsi="Arial" w:cs="Arial"/>
                <w:szCs w:val="24"/>
              </w:rPr>
            </w:pPr>
          </w:p>
        </w:tc>
      </w:tr>
      <w:tr w:rsidR="003B0D32" w:rsidRPr="00012344" w:rsidTr="004A1D17">
        <w:trPr>
          <w:cantSplit/>
        </w:trPr>
        <w:tc>
          <w:tcPr>
            <w:tcW w:w="9900" w:type="dxa"/>
            <w:gridSpan w:val="4"/>
          </w:tcPr>
          <w:p w:rsidR="003B0D32" w:rsidRPr="00012344" w:rsidRDefault="003B0D32" w:rsidP="00F35D62">
            <w:pPr>
              <w:jc w:val="both"/>
              <w:rPr>
                <w:rFonts w:ascii="Arial" w:hAnsi="Arial" w:cs="Arial"/>
                <w:szCs w:val="24"/>
              </w:rPr>
            </w:pPr>
          </w:p>
        </w:tc>
      </w:tr>
      <w:tr w:rsidR="003B0D32" w:rsidRPr="00012344" w:rsidTr="004A1D17">
        <w:tc>
          <w:tcPr>
            <w:tcW w:w="630" w:type="dxa"/>
          </w:tcPr>
          <w:p w:rsidR="003B0D32" w:rsidRPr="00012344" w:rsidRDefault="003B0D32" w:rsidP="00F35D62">
            <w:pPr>
              <w:jc w:val="both"/>
              <w:rPr>
                <w:rFonts w:ascii="Arial" w:hAnsi="Arial" w:cs="Arial"/>
                <w:bCs/>
                <w:szCs w:val="24"/>
              </w:rPr>
            </w:pPr>
            <w:r w:rsidRPr="00012344">
              <w:rPr>
                <w:rFonts w:ascii="Arial" w:hAnsi="Arial" w:cs="Arial"/>
                <w:bCs/>
                <w:szCs w:val="24"/>
              </w:rPr>
              <w:t>1.</w:t>
            </w:r>
          </w:p>
        </w:tc>
        <w:tc>
          <w:tcPr>
            <w:tcW w:w="9270" w:type="dxa"/>
            <w:gridSpan w:val="3"/>
          </w:tcPr>
          <w:p w:rsidR="003B0D32" w:rsidRPr="00012344" w:rsidRDefault="003B0D32" w:rsidP="003B578F">
            <w:pPr>
              <w:autoSpaceDE w:val="0"/>
              <w:autoSpaceDN w:val="0"/>
              <w:adjustRightInd w:val="0"/>
              <w:jc w:val="both"/>
              <w:rPr>
                <w:rFonts w:ascii="Arial" w:hAnsi="Arial" w:cs="Arial"/>
                <w:bCs/>
                <w:szCs w:val="24"/>
              </w:rPr>
            </w:pPr>
            <w:r w:rsidRPr="00012344">
              <w:rPr>
                <w:rFonts w:ascii="Arial" w:hAnsi="Arial" w:cs="Arial"/>
                <w:szCs w:val="24"/>
              </w:rPr>
              <w:t>Contractor shall expend all funds received hereunder in accordance with this Agreement.</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rPr>
            </w:pPr>
          </w:p>
        </w:tc>
      </w:tr>
      <w:tr w:rsidR="003B0D32" w:rsidRPr="00012344" w:rsidTr="004A1D17">
        <w:tc>
          <w:tcPr>
            <w:tcW w:w="630" w:type="dxa"/>
          </w:tcPr>
          <w:p w:rsidR="003B0D32" w:rsidRPr="00012344" w:rsidRDefault="003B0D32" w:rsidP="00F35D62">
            <w:pPr>
              <w:jc w:val="both"/>
              <w:rPr>
                <w:rFonts w:ascii="Arial" w:hAnsi="Arial" w:cs="Arial"/>
                <w:bCs/>
                <w:szCs w:val="24"/>
              </w:rPr>
            </w:pPr>
            <w:r w:rsidRPr="00012344">
              <w:rPr>
                <w:rFonts w:ascii="Arial" w:hAnsi="Arial" w:cs="Arial"/>
                <w:bCs/>
                <w:szCs w:val="24"/>
              </w:rPr>
              <w:t>2.</w:t>
            </w:r>
          </w:p>
        </w:tc>
        <w:tc>
          <w:tcPr>
            <w:tcW w:w="9270" w:type="dxa"/>
            <w:gridSpan w:val="3"/>
          </w:tcPr>
          <w:p w:rsidR="003B0D32" w:rsidRPr="00012344" w:rsidRDefault="003B0D32" w:rsidP="003B578F">
            <w:pPr>
              <w:jc w:val="both"/>
              <w:rPr>
                <w:rFonts w:ascii="Arial" w:hAnsi="Arial" w:cs="Arial"/>
                <w:szCs w:val="24"/>
              </w:rPr>
            </w:pPr>
            <w:r w:rsidRPr="00012344">
              <w:rPr>
                <w:rFonts w:ascii="Arial" w:hAnsi="Arial" w:cs="Arial"/>
                <w:szCs w:val="24"/>
              </w:rPr>
              <w:t>Contractor is responsible for covering the cost of all components of each program outlined above and shall be reimbursed for actual expenditures on the approved budget for each program.</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rPr>
            </w:pPr>
          </w:p>
        </w:tc>
      </w:tr>
      <w:tr w:rsidR="00E756B1" w:rsidRPr="00012344" w:rsidTr="004A1D17">
        <w:tc>
          <w:tcPr>
            <w:tcW w:w="630" w:type="dxa"/>
          </w:tcPr>
          <w:p w:rsidR="00E756B1" w:rsidRPr="00012344" w:rsidRDefault="00E756B1" w:rsidP="00F35D62">
            <w:pPr>
              <w:jc w:val="both"/>
              <w:rPr>
                <w:rFonts w:ascii="Arial" w:hAnsi="Arial" w:cs="Arial"/>
                <w:bCs/>
                <w:szCs w:val="24"/>
              </w:rPr>
            </w:pPr>
            <w:r>
              <w:rPr>
                <w:rFonts w:ascii="Arial" w:hAnsi="Arial" w:cs="Arial"/>
                <w:bCs/>
                <w:szCs w:val="24"/>
              </w:rPr>
              <w:t>3.</w:t>
            </w:r>
          </w:p>
        </w:tc>
        <w:tc>
          <w:tcPr>
            <w:tcW w:w="9270" w:type="dxa"/>
            <w:gridSpan w:val="3"/>
          </w:tcPr>
          <w:p w:rsidR="00E756B1" w:rsidRPr="00012344" w:rsidRDefault="00E756B1" w:rsidP="003B0D32">
            <w:pPr>
              <w:tabs>
                <w:tab w:val="num" w:pos="1440"/>
              </w:tabs>
              <w:jc w:val="both"/>
              <w:rPr>
                <w:rFonts w:ascii="Arial" w:hAnsi="Arial" w:cs="Arial"/>
                <w:szCs w:val="24"/>
              </w:rPr>
            </w:pPr>
            <w:r w:rsidRPr="00012344">
              <w:rPr>
                <w:rFonts w:ascii="Arial" w:hAnsi="Arial" w:cs="Arial"/>
                <w:szCs w:val="24"/>
              </w:rPr>
              <w:t>Federal funds shall not be used to pay for costs to meet cost sharing, or matching requirements of any other federally funded program, unless the program specifically allows for such activity.  Contractor shall not submit claims or demands or otherwise collect from an additional funding source for a service where a “Comprehensive Basic Daily Rate” of reimbursement is being applied.</w:t>
            </w:r>
          </w:p>
        </w:tc>
      </w:tr>
      <w:tr w:rsidR="00E756B1" w:rsidRPr="00012344" w:rsidTr="004A1D17">
        <w:tc>
          <w:tcPr>
            <w:tcW w:w="630" w:type="dxa"/>
          </w:tcPr>
          <w:p w:rsidR="00E756B1" w:rsidRPr="00012344" w:rsidRDefault="00E756B1" w:rsidP="00F35D62">
            <w:pPr>
              <w:jc w:val="both"/>
              <w:rPr>
                <w:rFonts w:ascii="Arial" w:hAnsi="Arial" w:cs="Arial"/>
                <w:bCs/>
                <w:szCs w:val="24"/>
              </w:rPr>
            </w:pPr>
          </w:p>
        </w:tc>
        <w:tc>
          <w:tcPr>
            <w:tcW w:w="9270" w:type="dxa"/>
            <w:gridSpan w:val="3"/>
          </w:tcPr>
          <w:p w:rsidR="00E756B1" w:rsidRPr="00012344" w:rsidRDefault="00E756B1" w:rsidP="003B0D32">
            <w:pPr>
              <w:tabs>
                <w:tab w:val="num" w:pos="1440"/>
              </w:tabs>
              <w:jc w:val="both"/>
              <w:rPr>
                <w:rFonts w:ascii="Arial" w:hAnsi="Arial" w:cs="Arial"/>
                <w:szCs w:val="24"/>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4.</w:t>
            </w:r>
          </w:p>
        </w:tc>
        <w:tc>
          <w:tcPr>
            <w:tcW w:w="9270" w:type="dxa"/>
            <w:gridSpan w:val="3"/>
          </w:tcPr>
          <w:p w:rsidR="003B0D32" w:rsidRPr="00012344" w:rsidRDefault="003B0D32" w:rsidP="003B0D32">
            <w:pPr>
              <w:tabs>
                <w:tab w:val="num" w:pos="1440"/>
              </w:tabs>
              <w:jc w:val="both"/>
              <w:rPr>
                <w:rFonts w:ascii="Arial" w:hAnsi="Arial" w:cs="Arial"/>
                <w:szCs w:val="24"/>
              </w:rPr>
            </w:pPr>
            <w:r w:rsidRPr="00012344">
              <w:rPr>
                <w:rFonts w:ascii="Arial" w:hAnsi="Arial" w:cs="Arial"/>
                <w:szCs w:val="24"/>
              </w:rPr>
              <w:t>Agreement funds must be traceable and original detailed invoices for all expenditures must be retained until audit findings are resolved or for a period of four (4) years, whichever is greater.</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5.</w:t>
            </w:r>
          </w:p>
        </w:tc>
        <w:tc>
          <w:tcPr>
            <w:tcW w:w="9270" w:type="dxa"/>
            <w:gridSpan w:val="3"/>
          </w:tcPr>
          <w:p w:rsidR="003B0D32" w:rsidRPr="00012344" w:rsidRDefault="003B0D32" w:rsidP="003B578F">
            <w:pPr>
              <w:jc w:val="both"/>
              <w:rPr>
                <w:rFonts w:ascii="Arial" w:hAnsi="Arial" w:cs="Arial"/>
                <w:bCs/>
                <w:szCs w:val="24"/>
              </w:rPr>
            </w:pPr>
            <w:r w:rsidRPr="00012344">
              <w:rPr>
                <w:rFonts w:ascii="Arial" w:hAnsi="Arial" w:cs="Arial"/>
                <w:b/>
                <w:szCs w:val="24"/>
              </w:rPr>
              <w:t xml:space="preserve">Reimbursement Calculation – </w:t>
            </w:r>
            <w:r w:rsidRPr="00012344">
              <w:rPr>
                <w:rFonts w:ascii="Arial" w:hAnsi="Arial" w:cs="Arial"/>
                <w:szCs w:val="24"/>
              </w:rPr>
              <w:t xml:space="preserve">The total reimbursement amount is calculated based on the following formula:  </w:t>
            </w:r>
            <w:r w:rsidRPr="00012344">
              <w:rPr>
                <w:rFonts w:ascii="Arial" w:hAnsi="Arial" w:cs="Arial"/>
                <w:b/>
                <w:szCs w:val="24"/>
              </w:rPr>
              <w:t xml:space="preserve">Actual Expenditure </w:t>
            </w:r>
            <w:r w:rsidRPr="00012344">
              <w:rPr>
                <w:rFonts w:ascii="Arial" w:hAnsi="Arial" w:cs="Arial"/>
                <w:szCs w:val="24"/>
              </w:rPr>
              <w:t xml:space="preserve">minus (-) </w:t>
            </w:r>
            <w:r w:rsidRPr="00012344">
              <w:rPr>
                <w:rFonts w:ascii="Arial" w:hAnsi="Arial" w:cs="Arial"/>
                <w:b/>
                <w:szCs w:val="24"/>
              </w:rPr>
              <w:t>Total Revenue</w:t>
            </w:r>
            <w:r w:rsidRPr="00012344">
              <w:rPr>
                <w:rFonts w:ascii="Arial" w:hAnsi="Arial" w:cs="Arial"/>
                <w:szCs w:val="24"/>
              </w:rPr>
              <w:t xml:space="preserve"> (Matching and Non-Matching Contributions and Project Income) equals (=) </w:t>
            </w:r>
            <w:r w:rsidRPr="00012344">
              <w:rPr>
                <w:rFonts w:ascii="Arial" w:hAnsi="Arial" w:cs="Arial"/>
                <w:b/>
                <w:szCs w:val="24"/>
              </w:rPr>
              <w:t>Total Reimbursement amount</w:t>
            </w:r>
            <w:r w:rsidRPr="00012344">
              <w:rPr>
                <w:rFonts w:ascii="Arial" w:hAnsi="Arial" w:cs="Arial"/>
                <w:szCs w:val="24"/>
              </w:rPr>
              <w:t>.</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578F">
            <w:pPr>
              <w:jc w:val="both"/>
              <w:rPr>
                <w:rFonts w:ascii="Arial" w:hAnsi="Arial" w:cs="Arial"/>
                <w:bCs/>
                <w:szCs w:val="24"/>
              </w:rPr>
            </w:pPr>
            <w:r w:rsidRPr="00012344">
              <w:rPr>
                <w:rFonts w:ascii="Arial" w:hAnsi="Arial" w:cs="Arial"/>
                <w:szCs w:val="24"/>
              </w:rPr>
              <w:t xml:space="preserve">If the Contractor prefers to have the reimbursement amount equally spread throughout the contract year, this can be achieved by utilizing the reimbursement formula indicated above, as long as the </w:t>
            </w:r>
            <w:r w:rsidRPr="00012344">
              <w:rPr>
                <w:rFonts w:ascii="Arial" w:hAnsi="Arial" w:cs="Arial"/>
                <w:szCs w:val="24"/>
                <w:u w:val="single"/>
              </w:rPr>
              <w:t>total reimbursement amount</w:t>
            </w:r>
            <w:r w:rsidRPr="00012344">
              <w:rPr>
                <w:rFonts w:ascii="Arial" w:hAnsi="Arial" w:cs="Arial"/>
                <w:szCs w:val="24"/>
              </w:rPr>
              <w:t xml:space="preserve"> does not exceed the total cost of the services rendered during the period indicated on the invoice; and</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rPr>
            </w:pP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578F">
            <w:pPr>
              <w:jc w:val="both"/>
              <w:rPr>
                <w:rFonts w:ascii="Arial" w:hAnsi="Arial" w:cs="Arial"/>
                <w:szCs w:val="24"/>
              </w:rPr>
            </w:pPr>
            <w:r w:rsidRPr="00012344">
              <w:rPr>
                <w:rFonts w:ascii="Arial" w:hAnsi="Arial" w:cs="Arial"/>
                <w:szCs w:val="24"/>
              </w:rPr>
              <w:t xml:space="preserve">Reimbursement for the nutrition programs will be according to the Reimbursement Calculation above not by service unit (meals).  </w:t>
            </w:r>
            <w:r w:rsidR="004A1D17">
              <w:rPr>
                <w:rFonts w:ascii="Arial" w:hAnsi="Arial" w:cs="Arial"/>
                <w:szCs w:val="24"/>
              </w:rPr>
              <w:t>However, a</w:t>
            </w:r>
            <w:r w:rsidRPr="00012344">
              <w:rPr>
                <w:rFonts w:ascii="Arial" w:hAnsi="Arial" w:cs="Arial"/>
                <w:szCs w:val="24"/>
              </w:rPr>
              <w:t>ll Contractors agree to work toward meeting the service unit targets each month throughout the entire year;</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3B0D32" w:rsidP="00F35D62">
            <w:pPr>
              <w:jc w:val="both"/>
              <w:rPr>
                <w:rFonts w:ascii="Arial" w:hAnsi="Arial" w:cs="Arial"/>
                <w:bCs/>
                <w:szCs w:val="24"/>
              </w:rPr>
            </w:pPr>
            <w:r w:rsidRPr="00012344">
              <w:rPr>
                <w:rFonts w:ascii="Arial" w:hAnsi="Arial" w:cs="Arial"/>
                <w:bCs/>
                <w:szCs w:val="24"/>
              </w:rPr>
              <w:t>6.</w:t>
            </w:r>
          </w:p>
        </w:tc>
        <w:tc>
          <w:tcPr>
            <w:tcW w:w="9270" w:type="dxa"/>
            <w:gridSpan w:val="3"/>
          </w:tcPr>
          <w:p w:rsidR="003B0D32" w:rsidRPr="00012344" w:rsidRDefault="003B0D32" w:rsidP="003B578F">
            <w:pPr>
              <w:autoSpaceDE w:val="0"/>
              <w:autoSpaceDN w:val="0"/>
              <w:adjustRightInd w:val="0"/>
              <w:jc w:val="both"/>
              <w:rPr>
                <w:rFonts w:ascii="Arial" w:hAnsi="Arial" w:cs="Arial"/>
                <w:bCs/>
                <w:szCs w:val="24"/>
              </w:rPr>
            </w:pPr>
            <w:r w:rsidRPr="00012344">
              <w:rPr>
                <w:rFonts w:ascii="Arial" w:hAnsi="Arial" w:cs="Arial"/>
                <w:szCs w:val="24"/>
              </w:rPr>
              <w:t xml:space="preserve"> Any reimbursement for authorized travel and per diem shall be at the rates not to exceed those amounts paid by the State in accordance with the California </w:t>
            </w:r>
            <w:r w:rsidRPr="00012344">
              <w:rPr>
                <w:rFonts w:ascii="Arial" w:hAnsi="Arial" w:cs="Arial"/>
                <w:szCs w:val="24"/>
              </w:rPr>
              <w:lastRenderedPageBreak/>
              <w:t>Department of Human Resources” (</w:t>
            </w:r>
            <w:proofErr w:type="spellStart"/>
            <w:r w:rsidRPr="00012344">
              <w:rPr>
                <w:rFonts w:ascii="Arial" w:hAnsi="Arial" w:cs="Arial"/>
                <w:szCs w:val="24"/>
              </w:rPr>
              <w:t>CalHR</w:t>
            </w:r>
            <w:proofErr w:type="spellEnd"/>
            <w:r w:rsidRPr="00012344">
              <w:rPr>
                <w:rFonts w:ascii="Arial" w:hAnsi="Arial" w:cs="Arial"/>
                <w:szCs w:val="24"/>
              </w:rPr>
              <w:t xml:space="preserve">) rules and regulations. </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0D32">
            <w:pPr>
              <w:numPr>
                <w:ilvl w:val="0"/>
                <w:numId w:val="1"/>
              </w:numPr>
              <w:tabs>
                <w:tab w:val="clear" w:pos="2880"/>
                <w:tab w:val="num" w:pos="637"/>
              </w:tabs>
              <w:autoSpaceDE w:val="0"/>
              <w:autoSpaceDN w:val="0"/>
              <w:adjustRightInd w:val="0"/>
              <w:ind w:left="637"/>
              <w:rPr>
                <w:rFonts w:ascii="Arial" w:hAnsi="Arial" w:cs="Arial"/>
                <w:bCs/>
                <w:szCs w:val="24"/>
              </w:rPr>
            </w:pPr>
            <w:r w:rsidRPr="00012344">
              <w:rPr>
                <w:rFonts w:ascii="Arial" w:hAnsi="Arial" w:cs="Arial"/>
                <w:szCs w:val="24"/>
              </w:rPr>
              <w:t xml:space="preserve">Mileage - </w:t>
            </w:r>
          </w:p>
          <w:p w:rsidR="003B0D32" w:rsidRPr="00012344" w:rsidRDefault="003B0D32" w:rsidP="003B0D32">
            <w:pPr>
              <w:tabs>
                <w:tab w:val="num" w:pos="637"/>
              </w:tabs>
              <w:autoSpaceDE w:val="0"/>
              <w:autoSpaceDN w:val="0"/>
              <w:adjustRightInd w:val="0"/>
              <w:rPr>
                <w:rFonts w:ascii="Arial" w:hAnsi="Arial" w:cs="Arial"/>
                <w:szCs w:val="24"/>
              </w:rPr>
            </w:pPr>
            <w:r w:rsidRPr="00012344">
              <w:rPr>
                <w:rFonts w:ascii="Arial" w:hAnsi="Arial" w:cs="Arial"/>
                <w:szCs w:val="24"/>
              </w:rPr>
              <w:tab/>
            </w:r>
            <w:hyperlink r:id="rId11" w:history="1">
              <w:r w:rsidRPr="00012344">
                <w:rPr>
                  <w:rStyle w:val="Hyperlink"/>
                  <w:rFonts w:ascii="Arial" w:hAnsi="Arial" w:cs="Arial"/>
                  <w:szCs w:val="24"/>
                </w:rPr>
                <w:t>http://www.calhr.ca.gov/employees/Pages/travel-personal-vehicle.aspx</w:t>
              </w:r>
            </w:hyperlink>
          </w:p>
          <w:p w:rsidR="003B0D32" w:rsidRPr="00012344" w:rsidRDefault="003B0D32" w:rsidP="003B0D32">
            <w:pPr>
              <w:numPr>
                <w:ilvl w:val="0"/>
                <w:numId w:val="1"/>
              </w:numPr>
              <w:tabs>
                <w:tab w:val="clear" w:pos="2880"/>
                <w:tab w:val="num" w:pos="637"/>
              </w:tabs>
              <w:autoSpaceDE w:val="0"/>
              <w:autoSpaceDN w:val="0"/>
              <w:adjustRightInd w:val="0"/>
              <w:ind w:left="637"/>
              <w:rPr>
                <w:rFonts w:ascii="Arial" w:hAnsi="Arial" w:cs="Arial"/>
                <w:bCs/>
                <w:color w:val="000000"/>
                <w:szCs w:val="24"/>
              </w:rPr>
            </w:pPr>
            <w:r w:rsidRPr="00012344">
              <w:rPr>
                <w:rFonts w:ascii="Arial" w:hAnsi="Arial" w:cs="Arial"/>
                <w:color w:val="000000"/>
                <w:szCs w:val="24"/>
              </w:rPr>
              <w:t>Per Diem (meals and incidentals) -</w:t>
            </w:r>
          </w:p>
          <w:p w:rsidR="003B0D32" w:rsidRPr="00012344" w:rsidRDefault="003B0D32" w:rsidP="003B0D32">
            <w:pPr>
              <w:tabs>
                <w:tab w:val="num" w:pos="637"/>
              </w:tabs>
              <w:autoSpaceDE w:val="0"/>
              <w:autoSpaceDN w:val="0"/>
              <w:adjustRightInd w:val="0"/>
              <w:rPr>
                <w:rFonts w:ascii="Arial" w:hAnsi="Arial" w:cs="Arial"/>
                <w:bCs/>
                <w:szCs w:val="24"/>
              </w:rPr>
            </w:pPr>
            <w:r w:rsidRPr="00012344">
              <w:rPr>
                <w:rFonts w:ascii="Arial" w:hAnsi="Arial" w:cs="Arial"/>
                <w:szCs w:val="24"/>
              </w:rPr>
              <w:tab/>
            </w:r>
            <w:hyperlink r:id="rId12" w:history="1">
              <w:r w:rsidRPr="00012344">
                <w:rPr>
                  <w:rStyle w:val="Hyperlink"/>
                  <w:rFonts w:ascii="Arial" w:hAnsi="Arial" w:cs="Arial"/>
                  <w:szCs w:val="24"/>
                </w:rPr>
                <w:t>http://www.calhr.ca.gov/employees/Pages/travel-meals.aspx</w:t>
              </w:r>
            </w:hyperlink>
          </w:p>
          <w:p w:rsidR="003B0D32" w:rsidRPr="00012344" w:rsidRDefault="003B0D32" w:rsidP="003B0D32">
            <w:pPr>
              <w:numPr>
                <w:ilvl w:val="0"/>
                <w:numId w:val="1"/>
              </w:numPr>
              <w:tabs>
                <w:tab w:val="clear" w:pos="2880"/>
                <w:tab w:val="num" w:pos="637"/>
              </w:tabs>
              <w:autoSpaceDE w:val="0"/>
              <w:autoSpaceDN w:val="0"/>
              <w:adjustRightInd w:val="0"/>
              <w:ind w:left="637"/>
              <w:rPr>
                <w:rFonts w:ascii="Arial" w:hAnsi="Arial" w:cs="Arial"/>
                <w:bCs/>
                <w:color w:val="000000"/>
                <w:szCs w:val="24"/>
              </w:rPr>
            </w:pPr>
            <w:r w:rsidRPr="00012344">
              <w:rPr>
                <w:rFonts w:ascii="Arial" w:hAnsi="Arial" w:cs="Arial"/>
                <w:color w:val="000000"/>
                <w:szCs w:val="24"/>
              </w:rPr>
              <w:t xml:space="preserve">Lodging - </w:t>
            </w:r>
          </w:p>
          <w:p w:rsidR="003B0D32" w:rsidRPr="00012344" w:rsidRDefault="003B0D32" w:rsidP="003B0D32">
            <w:pPr>
              <w:jc w:val="both"/>
              <w:rPr>
                <w:rFonts w:ascii="Arial" w:hAnsi="Arial" w:cs="Arial"/>
                <w:szCs w:val="24"/>
                <w:u w:val="single"/>
              </w:rPr>
            </w:pPr>
            <w:r w:rsidRPr="00012344">
              <w:rPr>
                <w:rFonts w:ascii="Arial" w:hAnsi="Arial" w:cs="Arial"/>
                <w:szCs w:val="24"/>
              </w:rPr>
              <w:tab/>
            </w:r>
            <w:hyperlink r:id="rId13" w:history="1">
              <w:r w:rsidRPr="00012344">
                <w:rPr>
                  <w:rStyle w:val="Hyperlink"/>
                  <w:rFonts w:ascii="Arial" w:hAnsi="Arial" w:cs="Arial"/>
                  <w:szCs w:val="24"/>
                </w:rPr>
                <w:t>http://www.calhr.ca.gov/employees/Pages/travel-lodging-reimbursement.aspx</w:t>
              </w:r>
            </w:hyperlink>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578F">
            <w:pPr>
              <w:autoSpaceDE w:val="0"/>
              <w:autoSpaceDN w:val="0"/>
              <w:adjustRightInd w:val="0"/>
              <w:jc w:val="both"/>
              <w:rPr>
                <w:rFonts w:ascii="Arial" w:hAnsi="Arial" w:cs="Arial"/>
                <w:bCs/>
                <w:szCs w:val="24"/>
              </w:rPr>
            </w:pPr>
            <w:r w:rsidRPr="00012344">
              <w:rPr>
                <w:rFonts w:ascii="Arial" w:hAnsi="Arial" w:cs="Arial"/>
                <w:szCs w:val="24"/>
              </w:rPr>
              <w:t xml:space="preserve">This is not to be construed as limiting the Contractor from paying any differences in costs, from funds other than those provided by the County, between the Department of Personnel Administration rates and any rates the Contractor is obligated to pay under other contractual agreements. No travel outside the State of California shall be reimbursed unless prior written authorization is obtained from the County. [2 </w:t>
            </w:r>
            <w:proofErr w:type="spellStart"/>
            <w:r w:rsidRPr="00012344">
              <w:rPr>
                <w:rFonts w:ascii="Arial" w:hAnsi="Arial" w:cs="Arial"/>
                <w:szCs w:val="24"/>
              </w:rPr>
              <w:t>CCR</w:t>
            </w:r>
            <w:proofErr w:type="spellEnd"/>
            <w:r w:rsidRPr="00012344">
              <w:rPr>
                <w:rFonts w:ascii="Arial" w:hAnsi="Arial" w:cs="Arial"/>
                <w:szCs w:val="24"/>
              </w:rPr>
              <w:t xml:space="preserve"> 599.615 et seq.].</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7.</w:t>
            </w:r>
          </w:p>
        </w:tc>
        <w:tc>
          <w:tcPr>
            <w:tcW w:w="9270" w:type="dxa"/>
            <w:gridSpan w:val="3"/>
          </w:tcPr>
          <w:p w:rsidR="003B0D32" w:rsidRPr="00012344" w:rsidRDefault="003B0D32" w:rsidP="003B578F">
            <w:pPr>
              <w:autoSpaceDE w:val="0"/>
              <w:autoSpaceDN w:val="0"/>
              <w:adjustRightInd w:val="0"/>
              <w:jc w:val="both"/>
              <w:rPr>
                <w:rFonts w:ascii="Arial" w:hAnsi="Arial" w:cs="Arial"/>
                <w:bCs/>
                <w:szCs w:val="24"/>
              </w:rPr>
            </w:pPr>
            <w:r w:rsidRPr="00012344">
              <w:rPr>
                <w:rFonts w:ascii="Arial" w:hAnsi="Arial" w:cs="Arial"/>
                <w:szCs w:val="24"/>
              </w:rPr>
              <w:t>The Contractor agrees to include these requirements in all contracts it enters into with subcontractors to provider services pursuant to this Agreement.</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8</w:t>
            </w:r>
            <w:r w:rsidR="003B0D32" w:rsidRPr="00012344">
              <w:rPr>
                <w:rFonts w:ascii="Arial" w:hAnsi="Arial" w:cs="Arial"/>
                <w:bCs/>
                <w:szCs w:val="24"/>
              </w:rPr>
              <w:t>.</w:t>
            </w:r>
          </w:p>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0D32">
            <w:pPr>
              <w:autoSpaceDE w:val="0"/>
              <w:autoSpaceDN w:val="0"/>
              <w:adjustRightInd w:val="0"/>
              <w:jc w:val="both"/>
              <w:rPr>
                <w:rFonts w:ascii="Arial" w:hAnsi="Arial" w:cs="Arial"/>
                <w:bCs/>
                <w:szCs w:val="24"/>
              </w:rPr>
            </w:pPr>
            <w:proofErr w:type="spellStart"/>
            <w:r w:rsidRPr="00012344">
              <w:rPr>
                <w:rFonts w:ascii="Arial" w:hAnsi="Arial" w:cs="Arial"/>
                <w:szCs w:val="24"/>
              </w:rPr>
              <w:t>AAS</w:t>
            </w:r>
            <w:proofErr w:type="spellEnd"/>
            <w:r w:rsidRPr="00012344">
              <w:rPr>
                <w:rFonts w:ascii="Arial" w:hAnsi="Arial" w:cs="Arial"/>
                <w:szCs w:val="24"/>
              </w:rPr>
              <w:t xml:space="preserve"> reserves the right to refuse payment to the Contractor or disallow costs for any expenditure, as determined by </w:t>
            </w:r>
            <w:proofErr w:type="spellStart"/>
            <w:r w:rsidRPr="00012344">
              <w:rPr>
                <w:rFonts w:ascii="Arial" w:hAnsi="Arial" w:cs="Arial"/>
                <w:szCs w:val="24"/>
              </w:rPr>
              <w:t>AAS</w:t>
            </w:r>
            <w:proofErr w:type="spellEnd"/>
            <w:r w:rsidRPr="00012344">
              <w:rPr>
                <w:rFonts w:ascii="Arial" w:hAnsi="Arial" w:cs="Arial"/>
                <w:szCs w:val="24"/>
              </w:rPr>
              <w:t xml:space="preserve"> to be: out of compliance with this Agreement, unrelated or inappropriate to contract activities, when adequate supporting documentation is not present, or where prior approval was required but not requested nor granted;</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9</w:t>
            </w:r>
            <w:r w:rsidR="003B0D32" w:rsidRPr="00012344">
              <w:rPr>
                <w:rFonts w:ascii="Arial" w:hAnsi="Arial" w:cs="Arial"/>
                <w:bCs/>
                <w:szCs w:val="24"/>
              </w:rPr>
              <w:t>.</w:t>
            </w:r>
          </w:p>
        </w:tc>
        <w:tc>
          <w:tcPr>
            <w:tcW w:w="9270" w:type="dxa"/>
            <w:gridSpan w:val="3"/>
          </w:tcPr>
          <w:p w:rsidR="003B0D32" w:rsidRPr="00012344" w:rsidRDefault="003B0D32" w:rsidP="004A1D17">
            <w:pPr>
              <w:autoSpaceDE w:val="0"/>
              <w:autoSpaceDN w:val="0"/>
              <w:adjustRightInd w:val="0"/>
              <w:jc w:val="both"/>
              <w:rPr>
                <w:rFonts w:ascii="Arial" w:hAnsi="Arial" w:cs="Arial"/>
                <w:bCs/>
                <w:szCs w:val="24"/>
              </w:rPr>
            </w:pPr>
            <w:r w:rsidRPr="00012344">
              <w:rPr>
                <w:rFonts w:ascii="Arial" w:hAnsi="Arial" w:cs="Arial"/>
                <w:szCs w:val="24"/>
              </w:rPr>
              <w:t>Contractor shall maintain accounting records for funds received under the terms and conditions of this Agreement. These records shall be separate from those for any other funds administered by the Contractor, and shall be maintained in accordance with Generally Accepted Accounting Principles and Procedures and the Office of Management and Budget (OMB) Uniform Administrative Requirements, Cost Principles, and Audit Requirem</w:t>
            </w:r>
            <w:r w:rsidR="004A1D17">
              <w:rPr>
                <w:rFonts w:ascii="Arial" w:hAnsi="Arial" w:cs="Arial"/>
                <w:szCs w:val="24"/>
              </w:rPr>
              <w:t xml:space="preserve">ents for Federal Awards; [2 </w:t>
            </w:r>
            <w:proofErr w:type="spellStart"/>
            <w:r w:rsidR="004A1D17">
              <w:rPr>
                <w:rFonts w:ascii="Arial" w:hAnsi="Arial" w:cs="Arial"/>
                <w:szCs w:val="24"/>
              </w:rPr>
              <w:t>CFR</w:t>
            </w:r>
            <w:proofErr w:type="spellEnd"/>
            <w:r w:rsidR="00BB3506">
              <w:rPr>
                <w:rFonts w:ascii="Arial" w:hAnsi="Arial" w:cs="Arial"/>
                <w:szCs w:val="24"/>
              </w:rPr>
              <w:t xml:space="preserve"> 200] [45 </w:t>
            </w:r>
            <w:proofErr w:type="spellStart"/>
            <w:r w:rsidR="00BB3506">
              <w:rPr>
                <w:rFonts w:ascii="Arial" w:hAnsi="Arial" w:cs="Arial"/>
                <w:szCs w:val="24"/>
              </w:rPr>
              <w:t>CFR</w:t>
            </w:r>
            <w:proofErr w:type="spellEnd"/>
            <w:r w:rsidRPr="00012344">
              <w:rPr>
                <w:rFonts w:ascii="Arial" w:hAnsi="Arial" w:cs="Arial"/>
                <w:szCs w:val="24"/>
              </w:rPr>
              <w:t xml:space="preserve"> 75].</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autoSpaceDE w:val="0"/>
              <w:autoSpaceDN w:val="0"/>
              <w:adjustRightInd w:val="0"/>
              <w:jc w:val="both"/>
              <w:rPr>
                <w:rFonts w:ascii="Arial" w:hAnsi="Arial" w:cs="Arial"/>
                <w:bCs/>
                <w:szCs w:val="24"/>
              </w:rPr>
            </w:pPr>
          </w:p>
        </w:tc>
      </w:tr>
      <w:tr w:rsidR="003B0D32" w:rsidRPr="00012344" w:rsidTr="004A1D17">
        <w:tc>
          <w:tcPr>
            <w:tcW w:w="630" w:type="dxa"/>
          </w:tcPr>
          <w:p w:rsidR="003B0D32" w:rsidRPr="00012344" w:rsidRDefault="00E756B1" w:rsidP="00F35D62">
            <w:pPr>
              <w:jc w:val="both"/>
              <w:rPr>
                <w:rFonts w:ascii="Arial" w:hAnsi="Arial" w:cs="Arial"/>
                <w:bCs/>
                <w:szCs w:val="24"/>
              </w:rPr>
            </w:pPr>
            <w:r>
              <w:rPr>
                <w:rFonts w:ascii="Arial" w:hAnsi="Arial" w:cs="Arial"/>
                <w:bCs/>
                <w:szCs w:val="24"/>
              </w:rPr>
              <w:t>10</w:t>
            </w:r>
            <w:r w:rsidR="003B0D32" w:rsidRPr="00012344">
              <w:rPr>
                <w:rFonts w:ascii="Arial" w:hAnsi="Arial" w:cs="Arial"/>
                <w:bCs/>
                <w:szCs w:val="24"/>
              </w:rPr>
              <w:t>.</w:t>
            </w:r>
          </w:p>
        </w:tc>
        <w:tc>
          <w:tcPr>
            <w:tcW w:w="9270" w:type="dxa"/>
            <w:gridSpan w:val="3"/>
          </w:tcPr>
          <w:p w:rsidR="003B0D32" w:rsidRPr="00012344" w:rsidRDefault="003B0D32" w:rsidP="003B578F">
            <w:pPr>
              <w:autoSpaceDE w:val="0"/>
              <w:autoSpaceDN w:val="0"/>
              <w:adjustRightInd w:val="0"/>
              <w:jc w:val="both"/>
              <w:rPr>
                <w:rFonts w:ascii="Arial" w:hAnsi="Arial" w:cs="Arial"/>
                <w:bCs/>
                <w:szCs w:val="24"/>
              </w:rPr>
            </w:pPr>
            <w:r w:rsidRPr="00012344">
              <w:rPr>
                <w:rFonts w:ascii="Arial" w:hAnsi="Arial" w:cs="Arial"/>
                <w:szCs w:val="24"/>
              </w:rPr>
              <w:t xml:space="preserve">The Contractor shall meet the following standards for its financial management systems, as stipulated in 2 </w:t>
            </w:r>
            <w:proofErr w:type="spellStart"/>
            <w:r w:rsidRPr="00012344">
              <w:rPr>
                <w:rFonts w:ascii="Arial" w:hAnsi="Arial" w:cs="Arial"/>
                <w:szCs w:val="24"/>
              </w:rPr>
              <w:t>CFR</w:t>
            </w:r>
            <w:proofErr w:type="spellEnd"/>
            <w:r w:rsidRPr="00012344">
              <w:rPr>
                <w:rFonts w:ascii="Arial" w:hAnsi="Arial" w:cs="Arial"/>
                <w:szCs w:val="24"/>
              </w:rPr>
              <w:t xml:space="preserve"> 200.302 and 45 </w:t>
            </w:r>
            <w:proofErr w:type="spellStart"/>
            <w:r w:rsidRPr="00012344">
              <w:rPr>
                <w:rFonts w:ascii="Arial" w:hAnsi="Arial" w:cs="Arial"/>
                <w:szCs w:val="24"/>
              </w:rPr>
              <w:t>CFR</w:t>
            </w:r>
            <w:proofErr w:type="spellEnd"/>
            <w:r w:rsidRPr="00012344">
              <w:rPr>
                <w:rFonts w:ascii="Arial" w:hAnsi="Arial" w:cs="Arial"/>
                <w:szCs w:val="24"/>
              </w:rPr>
              <w:t xml:space="preserve"> 75.302.</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Financial Reporting;</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Accounting Records;</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Complete Disclosure;</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Source Documentation;</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Internal Control;</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Budgetary Control;</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 xml:space="preserve">Cash Management (written procedures); </w:t>
            </w:r>
          </w:p>
          <w:p w:rsidR="003B0D32" w:rsidRPr="00012344" w:rsidRDefault="003B0D32" w:rsidP="003B0D32">
            <w:pPr>
              <w:numPr>
                <w:ilvl w:val="0"/>
                <w:numId w:val="2"/>
              </w:numPr>
              <w:jc w:val="both"/>
              <w:rPr>
                <w:rFonts w:ascii="Arial" w:hAnsi="Arial" w:cs="Arial"/>
                <w:szCs w:val="24"/>
              </w:rPr>
            </w:pPr>
            <w:r w:rsidRPr="00012344">
              <w:rPr>
                <w:rFonts w:ascii="Arial" w:hAnsi="Arial" w:cs="Arial"/>
                <w:szCs w:val="24"/>
              </w:rPr>
              <w:t>Allowable Costs (written procedures).</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3B0D32" w:rsidRPr="00012344" w:rsidTr="004A1D17">
        <w:tc>
          <w:tcPr>
            <w:tcW w:w="630" w:type="dxa"/>
          </w:tcPr>
          <w:p w:rsidR="003B0D32" w:rsidRPr="00012344" w:rsidRDefault="00C22347" w:rsidP="00F35D62">
            <w:pPr>
              <w:jc w:val="both"/>
              <w:rPr>
                <w:rFonts w:ascii="Arial" w:hAnsi="Arial" w:cs="Arial"/>
                <w:bCs/>
                <w:szCs w:val="24"/>
              </w:rPr>
            </w:pPr>
            <w:r>
              <w:rPr>
                <w:rFonts w:ascii="Arial" w:hAnsi="Arial" w:cs="Arial"/>
                <w:bCs/>
                <w:szCs w:val="24"/>
              </w:rPr>
              <w:t>11</w:t>
            </w:r>
            <w:r w:rsidR="003B0D32" w:rsidRPr="00012344">
              <w:rPr>
                <w:rFonts w:ascii="Arial" w:hAnsi="Arial" w:cs="Arial"/>
                <w:bCs/>
                <w:szCs w:val="24"/>
              </w:rPr>
              <w:t>.</w:t>
            </w:r>
          </w:p>
        </w:tc>
        <w:tc>
          <w:tcPr>
            <w:tcW w:w="9270" w:type="dxa"/>
            <w:gridSpan w:val="3"/>
          </w:tcPr>
          <w:p w:rsidR="003B0D32" w:rsidRPr="00012344" w:rsidRDefault="003B0D32" w:rsidP="003B578F">
            <w:pPr>
              <w:jc w:val="both"/>
              <w:rPr>
                <w:rFonts w:ascii="Arial" w:hAnsi="Arial" w:cs="Arial"/>
                <w:szCs w:val="24"/>
              </w:rPr>
            </w:pPr>
            <w:r w:rsidRPr="00012344">
              <w:rPr>
                <w:rFonts w:ascii="Arial" w:hAnsi="Arial" w:cs="Arial"/>
                <w:b/>
                <w:szCs w:val="24"/>
              </w:rPr>
              <w:t xml:space="preserve">Actual Expenditures </w:t>
            </w:r>
            <w:r w:rsidRPr="00012344">
              <w:rPr>
                <w:rFonts w:ascii="Arial" w:hAnsi="Arial" w:cs="Arial"/>
                <w:szCs w:val="24"/>
              </w:rPr>
              <w:t xml:space="preserve">means the </w:t>
            </w:r>
            <w:proofErr w:type="gramStart"/>
            <w:r w:rsidRPr="00012344">
              <w:rPr>
                <w:rFonts w:ascii="Arial" w:hAnsi="Arial" w:cs="Arial"/>
                <w:szCs w:val="24"/>
              </w:rPr>
              <w:t>allowable costs occurring during each month’s</w:t>
            </w:r>
            <w:proofErr w:type="gramEnd"/>
            <w:r w:rsidRPr="00012344">
              <w:rPr>
                <w:rFonts w:ascii="Arial" w:hAnsi="Arial" w:cs="Arial"/>
                <w:szCs w:val="24"/>
              </w:rPr>
              <w:t xml:space="preserve"> billing cycle</w:t>
            </w:r>
            <w:r w:rsidR="00C22347">
              <w:rPr>
                <w:rFonts w:ascii="Arial" w:hAnsi="Arial" w:cs="Arial"/>
                <w:szCs w:val="24"/>
              </w:rPr>
              <w:t>.</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578F">
            <w:pPr>
              <w:jc w:val="both"/>
              <w:rPr>
                <w:rFonts w:ascii="Arial" w:hAnsi="Arial" w:cs="Arial"/>
                <w:szCs w:val="24"/>
              </w:rPr>
            </w:pPr>
          </w:p>
        </w:tc>
      </w:tr>
      <w:tr w:rsidR="003B0D32" w:rsidRPr="00012344" w:rsidTr="004A1D17">
        <w:tc>
          <w:tcPr>
            <w:tcW w:w="630" w:type="dxa"/>
          </w:tcPr>
          <w:p w:rsidR="003B0D32" w:rsidRPr="00012344" w:rsidRDefault="00C22347" w:rsidP="00F35D62">
            <w:pPr>
              <w:jc w:val="both"/>
              <w:rPr>
                <w:rFonts w:ascii="Arial" w:hAnsi="Arial" w:cs="Arial"/>
                <w:bCs/>
                <w:szCs w:val="24"/>
              </w:rPr>
            </w:pPr>
            <w:r>
              <w:rPr>
                <w:rFonts w:ascii="Arial" w:hAnsi="Arial" w:cs="Arial"/>
                <w:bCs/>
                <w:szCs w:val="24"/>
              </w:rPr>
              <w:t>12</w:t>
            </w:r>
            <w:r w:rsidR="003B0D32" w:rsidRPr="00012344">
              <w:rPr>
                <w:rFonts w:ascii="Arial" w:hAnsi="Arial" w:cs="Arial"/>
                <w:bCs/>
                <w:szCs w:val="24"/>
              </w:rPr>
              <w:t>.</w:t>
            </w:r>
          </w:p>
        </w:tc>
        <w:tc>
          <w:tcPr>
            <w:tcW w:w="9270" w:type="dxa"/>
            <w:gridSpan w:val="3"/>
          </w:tcPr>
          <w:p w:rsidR="003B0D32" w:rsidRPr="00012344" w:rsidRDefault="003B0D32" w:rsidP="003B578F">
            <w:pPr>
              <w:rPr>
                <w:rFonts w:ascii="Arial" w:hAnsi="Arial" w:cs="Arial"/>
                <w:szCs w:val="24"/>
              </w:rPr>
            </w:pPr>
            <w:r w:rsidRPr="00012344">
              <w:rPr>
                <w:rFonts w:ascii="Arial" w:hAnsi="Arial" w:cs="Arial"/>
                <w:b/>
                <w:szCs w:val="24"/>
              </w:rPr>
              <w:t>Matching Contributions</w:t>
            </w:r>
            <w:r w:rsidRPr="00012344">
              <w:rPr>
                <w:rFonts w:ascii="Arial" w:hAnsi="Arial" w:cs="Arial"/>
                <w:szCs w:val="24"/>
              </w:rPr>
              <w:t xml:space="preserve"> mean local cash and/or in-kind contributions by the Contractor, subcontractor, or other local resources that qualify as match for the </w:t>
            </w:r>
            <w:r w:rsidRPr="00012344">
              <w:rPr>
                <w:rFonts w:ascii="Arial" w:hAnsi="Arial" w:cs="Arial"/>
                <w:szCs w:val="24"/>
              </w:rPr>
              <w:lastRenderedPageBreak/>
              <w:t>contract funding. Matching contributions are:</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3B0D32">
            <w:pPr>
              <w:numPr>
                <w:ilvl w:val="0"/>
                <w:numId w:val="3"/>
              </w:numPr>
              <w:autoSpaceDE w:val="0"/>
              <w:autoSpaceDN w:val="0"/>
              <w:adjustRightInd w:val="0"/>
              <w:rPr>
                <w:rFonts w:ascii="Arial" w:hAnsi="Arial" w:cs="Arial"/>
                <w:bCs/>
                <w:szCs w:val="24"/>
              </w:rPr>
            </w:pPr>
            <w:r w:rsidRPr="00012344">
              <w:rPr>
                <w:rFonts w:ascii="Arial" w:hAnsi="Arial" w:cs="Arial"/>
                <w:szCs w:val="24"/>
              </w:rPr>
              <w:t>Cash and/or in-kind contributions may count as match, if such contributions are used to meet program requirements;</w:t>
            </w:r>
          </w:p>
          <w:p w:rsidR="003B0D32" w:rsidRPr="00012344" w:rsidRDefault="003B0D32" w:rsidP="003B0D32">
            <w:pPr>
              <w:numPr>
                <w:ilvl w:val="0"/>
                <w:numId w:val="3"/>
              </w:numPr>
              <w:autoSpaceDE w:val="0"/>
              <w:autoSpaceDN w:val="0"/>
              <w:adjustRightInd w:val="0"/>
              <w:rPr>
                <w:rFonts w:ascii="Arial" w:hAnsi="Arial" w:cs="Arial"/>
                <w:bCs/>
                <w:szCs w:val="24"/>
              </w:rPr>
            </w:pPr>
            <w:r w:rsidRPr="00012344">
              <w:rPr>
                <w:rFonts w:ascii="Arial" w:hAnsi="Arial" w:cs="Arial"/>
                <w:szCs w:val="24"/>
              </w:rPr>
              <w:t>Any matching contributions (cash or in-kind) must be verifiable from the records of the Contractor or subcontractor; and</w:t>
            </w:r>
          </w:p>
          <w:p w:rsidR="003B0D32" w:rsidRPr="00012344" w:rsidRDefault="003B0D32" w:rsidP="003B0D32">
            <w:pPr>
              <w:numPr>
                <w:ilvl w:val="0"/>
                <w:numId w:val="3"/>
              </w:numPr>
              <w:autoSpaceDE w:val="0"/>
              <w:autoSpaceDN w:val="0"/>
              <w:adjustRightInd w:val="0"/>
              <w:rPr>
                <w:rFonts w:ascii="Arial" w:hAnsi="Arial" w:cs="Arial"/>
                <w:bCs/>
                <w:szCs w:val="24"/>
              </w:rPr>
            </w:pPr>
            <w:r w:rsidRPr="00012344">
              <w:rPr>
                <w:rFonts w:ascii="Arial" w:hAnsi="Arial" w:cs="Arial"/>
                <w:szCs w:val="24"/>
              </w:rPr>
              <w:t>Matching contributions must be used for allowable costs in accordance with the Office of Management and Budget (OMB) cost principles.</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450" w:type="dxa"/>
            <w:shd w:val="clear" w:color="auto" w:fill="auto"/>
          </w:tcPr>
          <w:p w:rsidR="003B0D32" w:rsidRPr="00012344" w:rsidRDefault="003B0D32" w:rsidP="00F35D62">
            <w:pPr>
              <w:jc w:val="both"/>
              <w:rPr>
                <w:rFonts w:ascii="Arial" w:hAnsi="Arial" w:cs="Arial"/>
                <w:szCs w:val="24"/>
              </w:rPr>
            </w:pPr>
          </w:p>
        </w:tc>
        <w:tc>
          <w:tcPr>
            <w:tcW w:w="8820" w:type="dxa"/>
            <w:gridSpan w:val="2"/>
            <w:shd w:val="clear" w:color="auto" w:fill="auto"/>
          </w:tcPr>
          <w:p w:rsidR="003B0D32" w:rsidRPr="00012344" w:rsidRDefault="003B0D32" w:rsidP="00F35D62">
            <w:pPr>
              <w:jc w:val="both"/>
              <w:rPr>
                <w:rFonts w:ascii="Arial" w:hAnsi="Arial" w:cs="Arial"/>
                <w:bCs/>
                <w:szCs w:val="24"/>
              </w:rPr>
            </w:pPr>
          </w:p>
        </w:tc>
      </w:tr>
      <w:tr w:rsidR="001978CB" w:rsidRPr="00012344" w:rsidTr="009A1D93">
        <w:tc>
          <w:tcPr>
            <w:tcW w:w="630" w:type="dxa"/>
            <w:shd w:val="clear" w:color="auto" w:fill="auto"/>
          </w:tcPr>
          <w:p w:rsidR="009A1D93" w:rsidRDefault="009A1D93" w:rsidP="00F35D62">
            <w:pPr>
              <w:jc w:val="both"/>
              <w:rPr>
                <w:rFonts w:ascii="Arial" w:hAnsi="Arial" w:cs="Arial"/>
                <w:bCs/>
                <w:szCs w:val="24"/>
              </w:rPr>
            </w:pPr>
          </w:p>
          <w:p w:rsidR="001978CB" w:rsidRPr="009A1D93" w:rsidRDefault="001978CB" w:rsidP="009A1D93">
            <w:pPr>
              <w:rPr>
                <w:rFonts w:ascii="Arial" w:hAnsi="Arial" w:cs="Arial"/>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a.</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The required minimum program matching contributions for</w:t>
            </w:r>
            <w:r w:rsidR="004A1D17">
              <w:rPr>
                <w:rFonts w:ascii="Arial" w:hAnsi="Arial" w:cs="Arial"/>
                <w:szCs w:val="24"/>
              </w:rPr>
              <w:t xml:space="preserve"> Title III B and III C is </w:t>
            </w:r>
            <w:r w:rsidR="009A1D93">
              <w:rPr>
                <w:rFonts w:ascii="Arial" w:hAnsi="Arial" w:cs="Arial"/>
                <w:szCs w:val="24"/>
              </w:rPr>
              <w:t xml:space="preserve">ten </w:t>
            </w:r>
            <w:r w:rsidR="00BB3506">
              <w:rPr>
                <w:rFonts w:ascii="Arial" w:hAnsi="Arial" w:cs="Arial"/>
                <w:szCs w:val="24"/>
              </w:rPr>
              <w:t xml:space="preserve">point fifty three </w:t>
            </w:r>
            <w:r w:rsidR="009A1D93">
              <w:rPr>
                <w:rFonts w:ascii="Arial" w:hAnsi="Arial" w:cs="Arial"/>
                <w:szCs w:val="24"/>
              </w:rPr>
              <w:t>percent (</w:t>
            </w:r>
            <w:r w:rsidR="004A1D17">
              <w:rPr>
                <w:rFonts w:ascii="Arial" w:hAnsi="Arial" w:cs="Arial"/>
                <w:szCs w:val="24"/>
              </w:rPr>
              <w:t>10.53</w:t>
            </w:r>
            <w:r w:rsidRPr="00012344">
              <w:rPr>
                <w:rFonts w:ascii="Arial" w:hAnsi="Arial" w:cs="Arial"/>
                <w:szCs w:val="24"/>
              </w:rPr>
              <w:t>%</w:t>
            </w:r>
            <w:r w:rsidR="009A1D93">
              <w:rPr>
                <w:rFonts w:ascii="Arial" w:hAnsi="Arial" w:cs="Arial"/>
                <w:szCs w:val="24"/>
              </w:rPr>
              <w:t>)</w:t>
            </w:r>
            <w:r w:rsidRPr="00012344">
              <w:rPr>
                <w:rFonts w:ascii="Arial" w:hAnsi="Arial" w:cs="Arial"/>
                <w:szCs w:val="24"/>
              </w:rPr>
              <w:t>.</w:t>
            </w:r>
          </w:p>
        </w:tc>
      </w:tr>
      <w:tr w:rsidR="001978CB" w:rsidRPr="00012344" w:rsidTr="009A1D93">
        <w:tc>
          <w:tcPr>
            <w:tcW w:w="630" w:type="dxa"/>
            <w:shd w:val="clear" w:color="auto" w:fill="auto"/>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b.</w:t>
            </w:r>
          </w:p>
        </w:tc>
        <w:tc>
          <w:tcPr>
            <w:tcW w:w="8820" w:type="dxa"/>
            <w:gridSpan w:val="2"/>
            <w:shd w:val="clear" w:color="auto" w:fill="auto"/>
          </w:tcPr>
          <w:p w:rsidR="001978CB" w:rsidRPr="00012344" w:rsidRDefault="001978CB" w:rsidP="004A1D17">
            <w:pPr>
              <w:rPr>
                <w:rFonts w:ascii="Arial" w:hAnsi="Arial" w:cs="Arial"/>
                <w:szCs w:val="24"/>
              </w:rPr>
            </w:pPr>
            <w:r w:rsidRPr="00012344">
              <w:rPr>
                <w:rFonts w:ascii="Arial" w:hAnsi="Arial" w:cs="Arial"/>
                <w:szCs w:val="24"/>
              </w:rPr>
              <w:t xml:space="preserve">The required minimum matching contributions for Title III E is </w:t>
            </w:r>
            <w:r w:rsidR="009A1D93">
              <w:rPr>
                <w:rFonts w:ascii="Arial" w:hAnsi="Arial" w:cs="Arial"/>
                <w:szCs w:val="24"/>
              </w:rPr>
              <w:t>twenty-five percent (</w:t>
            </w:r>
            <w:r w:rsidR="004A1D17">
              <w:rPr>
                <w:rFonts w:ascii="Arial" w:hAnsi="Arial" w:cs="Arial"/>
                <w:szCs w:val="24"/>
              </w:rPr>
              <w:t>25%</w:t>
            </w:r>
            <w:r w:rsidR="009A1D93">
              <w:rPr>
                <w:rFonts w:ascii="Arial" w:hAnsi="Arial" w:cs="Arial"/>
                <w:szCs w:val="24"/>
              </w:rPr>
              <w:t>)</w:t>
            </w:r>
            <w:r w:rsidRPr="00012344">
              <w:rPr>
                <w:rFonts w:ascii="Arial" w:hAnsi="Arial" w:cs="Arial"/>
                <w:szCs w:val="24"/>
              </w:rPr>
              <w:t>.</w:t>
            </w:r>
          </w:p>
        </w:tc>
      </w:tr>
      <w:tr w:rsidR="001978CB" w:rsidRPr="00012344" w:rsidTr="009A1D93">
        <w:tc>
          <w:tcPr>
            <w:tcW w:w="630" w:type="dxa"/>
            <w:shd w:val="clear" w:color="auto" w:fill="auto"/>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c.</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Minimum matching requirements are calculated on net costs, which are total costs less program income, non-matching contributions</w:t>
            </w:r>
            <w:r w:rsidR="004A1D17">
              <w:rPr>
                <w:rFonts w:ascii="Arial" w:hAnsi="Arial" w:cs="Arial"/>
                <w:szCs w:val="24"/>
              </w:rPr>
              <w:t xml:space="preserve">, </w:t>
            </w:r>
            <w:proofErr w:type="gramStart"/>
            <w:r w:rsidR="004A1D17">
              <w:rPr>
                <w:rFonts w:ascii="Arial" w:hAnsi="Arial" w:cs="Arial"/>
                <w:szCs w:val="24"/>
              </w:rPr>
              <w:t>County</w:t>
            </w:r>
            <w:proofErr w:type="gramEnd"/>
            <w:r w:rsidRPr="00012344">
              <w:rPr>
                <w:rFonts w:ascii="Arial" w:hAnsi="Arial" w:cs="Arial"/>
                <w:szCs w:val="24"/>
              </w:rPr>
              <w:t xml:space="preserve"> and State funds.</w:t>
            </w:r>
          </w:p>
        </w:tc>
      </w:tr>
      <w:tr w:rsidR="001978CB" w:rsidRPr="00012344" w:rsidTr="009A1D93">
        <w:tc>
          <w:tcPr>
            <w:tcW w:w="630" w:type="dxa"/>
            <w:shd w:val="clear" w:color="auto" w:fill="auto"/>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d.</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 xml:space="preserve">Program matching contributions for Title III B and III C can be pooled to meet the minimum requirement of </w:t>
            </w:r>
            <w:r w:rsidR="00A51833">
              <w:rPr>
                <w:rFonts w:ascii="Arial" w:hAnsi="Arial" w:cs="Arial"/>
                <w:szCs w:val="24"/>
              </w:rPr>
              <w:t xml:space="preserve">ten point fifty three percent </w:t>
            </w:r>
            <w:r w:rsidR="00A51833">
              <w:rPr>
                <w:rFonts w:ascii="Arial" w:hAnsi="Arial" w:cs="Arial"/>
                <w:szCs w:val="24"/>
              </w:rPr>
              <w:t>(</w:t>
            </w:r>
            <w:r w:rsidRPr="00012344">
              <w:rPr>
                <w:rFonts w:ascii="Arial" w:hAnsi="Arial" w:cs="Arial"/>
                <w:szCs w:val="24"/>
              </w:rPr>
              <w:t>10.53%</w:t>
            </w:r>
            <w:r w:rsidR="00A51833">
              <w:rPr>
                <w:rFonts w:ascii="Arial" w:hAnsi="Arial" w:cs="Arial"/>
                <w:szCs w:val="24"/>
              </w:rPr>
              <w:t>)</w:t>
            </w:r>
            <w:r w:rsidRPr="00012344">
              <w:rPr>
                <w:rFonts w:ascii="Arial" w:hAnsi="Arial" w:cs="Arial"/>
                <w:szCs w:val="24"/>
              </w:rPr>
              <w:t xml:space="preserve">. </w:t>
            </w:r>
          </w:p>
        </w:tc>
      </w:tr>
      <w:tr w:rsidR="001978CB" w:rsidRPr="00012344" w:rsidTr="009A1D93">
        <w:tc>
          <w:tcPr>
            <w:tcW w:w="630" w:type="dxa"/>
            <w:shd w:val="clear" w:color="auto" w:fill="auto"/>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e.</w:t>
            </w:r>
          </w:p>
        </w:tc>
        <w:tc>
          <w:tcPr>
            <w:tcW w:w="8820" w:type="dxa"/>
            <w:gridSpan w:val="2"/>
            <w:shd w:val="clear" w:color="auto" w:fill="auto"/>
          </w:tcPr>
          <w:p w:rsidR="001978CB" w:rsidRPr="00012344" w:rsidRDefault="001978CB" w:rsidP="003B578F">
            <w:pPr>
              <w:rPr>
                <w:rFonts w:ascii="Arial" w:hAnsi="Arial" w:cs="Arial"/>
                <w:bCs/>
                <w:szCs w:val="24"/>
              </w:rPr>
            </w:pPr>
            <w:r w:rsidRPr="00012344">
              <w:rPr>
                <w:rFonts w:ascii="Arial" w:hAnsi="Arial" w:cs="Arial"/>
                <w:szCs w:val="24"/>
              </w:rPr>
              <w:t xml:space="preserve">Matching contributions generated in excess of </w:t>
            </w:r>
            <w:r w:rsidR="004A1D17">
              <w:rPr>
                <w:rFonts w:ascii="Arial" w:hAnsi="Arial" w:cs="Arial"/>
                <w:szCs w:val="24"/>
              </w:rPr>
              <w:t xml:space="preserve">the </w:t>
            </w:r>
            <w:r w:rsidRPr="00012344">
              <w:rPr>
                <w:rFonts w:ascii="Arial" w:hAnsi="Arial" w:cs="Arial"/>
                <w:szCs w:val="24"/>
              </w:rPr>
              <w:t>minimum required are considered overmatch.</w:t>
            </w:r>
          </w:p>
        </w:tc>
      </w:tr>
      <w:tr w:rsidR="001978CB" w:rsidRPr="00012344" w:rsidTr="009A1D93">
        <w:tc>
          <w:tcPr>
            <w:tcW w:w="630" w:type="dxa"/>
            <w:shd w:val="clear" w:color="auto" w:fill="auto"/>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f.</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 xml:space="preserve">Program overmatch from Title III B or III C cannot be used to meet the program match requirement for </w:t>
            </w:r>
            <w:r w:rsidR="004A1D17">
              <w:rPr>
                <w:rFonts w:ascii="Arial" w:hAnsi="Arial" w:cs="Arial"/>
                <w:szCs w:val="24"/>
              </w:rPr>
              <w:t xml:space="preserve">Title </w:t>
            </w:r>
            <w:r w:rsidRPr="00012344">
              <w:rPr>
                <w:rFonts w:ascii="Arial" w:hAnsi="Arial" w:cs="Arial"/>
                <w:szCs w:val="24"/>
              </w:rPr>
              <w:t>III E.</w:t>
            </w:r>
          </w:p>
        </w:tc>
      </w:tr>
      <w:tr w:rsidR="009A1D93" w:rsidRPr="00012344" w:rsidTr="009A1D93">
        <w:tc>
          <w:tcPr>
            <w:tcW w:w="630" w:type="dxa"/>
            <w:shd w:val="clear" w:color="auto" w:fill="auto"/>
          </w:tcPr>
          <w:p w:rsidR="009A1D93" w:rsidRPr="00012344" w:rsidRDefault="009A1D93" w:rsidP="00F35D62">
            <w:pPr>
              <w:jc w:val="both"/>
              <w:rPr>
                <w:rFonts w:ascii="Arial" w:hAnsi="Arial" w:cs="Arial"/>
                <w:bCs/>
                <w:szCs w:val="24"/>
              </w:rPr>
            </w:pPr>
          </w:p>
        </w:tc>
        <w:tc>
          <w:tcPr>
            <w:tcW w:w="450" w:type="dxa"/>
            <w:shd w:val="clear" w:color="auto" w:fill="auto"/>
          </w:tcPr>
          <w:p w:rsidR="009A1D93" w:rsidRPr="00012344" w:rsidRDefault="009A1D93" w:rsidP="00F35D62">
            <w:pPr>
              <w:jc w:val="both"/>
              <w:rPr>
                <w:rFonts w:ascii="Arial" w:hAnsi="Arial" w:cs="Arial"/>
                <w:szCs w:val="24"/>
                <w:u w:val="single"/>
              </w:rPr>
            </w:pPr>
          </w:p>
        </w:tc>
        <w:tc>
          <w:tcPr>
            <w:tcW w:w="8820" w:type="dxa"/>
            <w:gridSpan w:val="2"/>
            <w:shd w:val="clear" w:color="auto" w:fill="auto"/>
          </w:tcPr>
          <w:p w:rsidR="009A1D93" w:rsidRPr="00012344" w:rsidRDefault="009A1D93" w:rsidP="00F35D62">
            <w:pPr>
              <w:jc w:val="both"/>
              <w:rPr>
                <w:rFonts w:ascii="Arial" w:hAnsi="Arial" w:cs="Arial"/>
                <w:szCs w:val="24"/>
                <w:u w:val="single"/>
              </w:rPr>
            </w:pPr>
          </w:p>
        </w:tc>
      </w:tr>
      <w:tr w:rsidR="001978CB" w:rsidRPr="00012344" w:rsidTr="009A1D93">
        <w:tc>
          <w:tcPr>
            <w:tcW w:w="630" w:type="dxa"/>
            <w:shd w:val="clear" w:color="auto" w:fill="auto"/>
          </w:tcPr>
          <w:p w:rsidR="001978CB" w:rsidRPr="00012344" w:rsidRDefault="001978CB" w:rsidP="00C22347">
            <w:pPr>
              <w:jc w:val="both"/>
              <w:rPr>
                <w:rFonts w:ascii="Arial" w:hAnsi="Arial" w:cs="Arial"/>
                <w:bCs/>
                <w:szCs w:val="24"/>
              </w:rPr>
            </w:pPr>
            <w:r w:rsidRPr="00012344">
              <w:rPr>
                <w:rFonts w:ascii="Arial" w:hAnsi="Arial" w:cs="Arial"/>
                <w:bCs/>
                <w:szCs w:val="24"/>
              </w:rPr>
              <w:t>1</w:t>
            </w:r>
            <w:r w:rsidR="00C22347">
              <w:rPr>
                <w:rFonts w:ascii="Arial" w:hAnsi="Arial" w:cs="Arial"/>
                <w:bCs/>
                <w:szCs w:val="24"/>
              </w:rPr>
              <w:t>3</w:t>
            </w:r>
            <w:r w:rsidRPr="00012344">
              <w:rPr>
                <w:rFonts w:ascii="Arial" w:hAnsi="Arial" w:cs="Arial"/>
                <w:bCs/>
                <w:szCs w:val="24"/>
              </w:rPr>
              <w:t>.</w:t>
            </w:r>
          </w:p>
        </w:tc>
        <w:tc>
          <w:tcPr>
            <w:tcW w:w="9270" w:type="dxa"/>
            <w:gridSpan w:val="3"/>
          </w:tcPr>
          <w:p w:rsidR="001978CB" w:rsidRPr="00012344" w:rsidRDefault="001978CB" w:rsidP="003B578F">
            <w:pPr>
              <w:rPr>
                <w:rFonts w:ascii="Arial" w:hAnsi="Arial" w:cs="Arial"/>
                <w:szCs w:val="24"/>
              </w:rPr>
            </w:pPr>
            <w:r w:rsidRPr="00012344">
              <w:rPr>
                <w:rFonts w:ascii="Arial" w:hAnsi="Arial" w:cs="Arial"/>
                <w:b/>
                <w:szCs w:val="24"/>
              </w:rPr>
              <w:t xml:space="preserve">In-kind Contributions </w:t>
            </w:r>
            <w:r w:rsidRPr="00012344">
              <w:rPr>
                <w:rFonts w:ascii="Arial" w:hAnsi="Arial" w:cs="Arial"/>
                <w:szCs w:val="24"/>
              </w:rPr>
              <w:t xml:space="preserve">mean the value of </w:t>
            </w:r>
            <w:r w:rsidR="009A1D93">
              <w:rPr>
                <w:rFonts w:ascii="Arial" w:hAnsi="Arial" w:cs="Arial"/>
                <w:szCs w:val="24"/>
              </w:rPr>
              <w:t xml:space="preserve">non-cash contributions donated </w:t>
            </w:r>
            <w:r w:rsidRPr="00012344">
              <w:rPr>
                <w:rFonts w:ascii="Arial" w:hAnsi="Arial" w:cs="Arial"/>
                <w:szCs w:val="24"/>
              </w:rPr>
              <w:t>to support the project or program</w:t>
            </w:r>
            <w:r w:rsidR="00C22347">
              <w:rPr>
                <w:rFonts w:ascii="Arial" w:hAnsi="Arial" w:cs="Arial"/>
                <w:szCs w:val="24"/>
              </w:rPr>
              <w:t xml:space="preserve"> (e.g. property, service, etc.).</w:t>
            </w:r>
          </w:p>
        </w:tc>
      </w:tr>
      <w:tr w:rsidR="003B0D32" w:rsidRPr="00012344" w:rsidTr="009A1D93">
        <w:tc>
          <w:tcPr>
            <w:tcW w:w="630" w:type="dxa"/>
            <w:shd w:val="clear" w:color="auto" w:fill="auto"/>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b/>
                <w:szCs w:val="24"/>
              </w:rPr>
            </w:pPr>
          </w:p>
        </w:tc>
      </w:tr>
      <w:tr w:rsidR="001978CB" w:rsidRPr="00012344" w:rsidTr="009A1D93">
        <w:tc>
          <w:tcPr>
            <w:tcW w:w="630" w:type="dxa"/>
            <w:shd w:val="clear" w:color="auto" w:fill="auto"/>
          </w:tcPr>
          <w:p w:rsidR="001978CB" w:rsidRPr="00012344" w:rsidRDefault="00C22347" w:rsidP="00F35D62">
            <w:pPr>
              <w:jc w:val="both"/>
              <w:rPr>
                <w:rFonts w:ascii="Arial" w:hAnsi="Arial" w:cs="Arial"/>
                <w:bCs/>
                <w:szCs w:val="24"/>
              </w:rPr>
            </w:pPr>
            <w:r>
              <w:rPr>
                <w:rFonts w:ascii="Arial" w:hAnsi="Arial" w:cs="Arial"/>
                <w:bCs/>
                <w:szCs w:val="24"/>
              </w:rPr>
              <w:t>14</w:t>
            </w:r>
            <w:r w:rsidR="001978CB" w:rsidRPr="00012344">
              <w:rPr>
                <w:rFonts w:ascii="Arial" w:hAnsi="Arial" w:cs="Arial"/>
                <w:bCs/>
                <w:szCs w:val="24"/>
              </w:rPr>
              <w:t>.</w:t>
            </w:r>
          </w:p>
        </w:tc>
        <w:tc>
          <w:tcPr>
            <w:tcW w:w="9270" w:type="dxa"/>
            <w:gridSpan w:val="3"/>
          </w:tcPr>
          <w:p w:rsidR="001978CB" w:rsidRPr="00012344" w:rsidRDefault="001978CB" w:rsidP="003B578F">
            <w:pPr>
              <w:jc w:val="both"/>
              <w:rPr>
                <w:rFonts w:ascii="Arial" w:hAnsi="Arial" w:cs="Arial"/>
                <w:szCs w:val="24"/>
              </w:rPr>
            </w:pPr>
            <w:r w:rsidRPr="00012344">
              <w:rPr>
                <w:rFonts w:ascii="Arial" w:hAnsi="Arial" w:cs="Arial"/>
                <w:b/>
                <w:szCs w:val="24"/>
              </w:rPr>
              <w:t xml:space="preserve">Non-Matching Contributions </w:t>
            </w:r>
            <w:r w:rsidRPr="00012344">
              <w:rPr>
                <w:rFonts w:ascii="Arial" w:hAnsi="Arial" w:cs="Arial"/>
                <w:szCs w:val="24"/>
              </w:rPr>
              <w:t xml:space="preserve">mean local funding that does not qualify as matching contributions and/or is not being budgeted as matching contributions.  (e.g., federal </w:t>
            </w:r>
            <w:proofErr w:type="gramStart"/>
            <w:r w:rsidRPr="00012344">
              <w:rPr>
                <w:rFonts w:ascii="Arial" w:hAnsi="Arial" w:cs="Arial"/>
                <w:szCs w:val="24"/>
              </w:rPr>
              <w:t>funds,</w:t>
            </w:r>
            <w:proofErr w:type="gramEnd"/>
            <w:r w:rsidRPr="00012344">
              <w:rPr>
                <w:rFonts w:ascii="Arial" w:hAnsi="Arial" w:cs="Arial"/>
                <w:szCs w:val="24"/>
              </w:rPr>
              <w:t xml:space="preserve"> overmatch, etc.).</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9270" w:type="dxa"/>
            <w:gridSpan w:val="3"/>
          </w:tcPr>
          <w:p w:rsidR="003B0D32" w:rsidRPr="00012344" w:rsidRDefault="003B0D32" w:rsidP="00F35D62">
            <w:pPr>
              <w:jc w:val="both"/>
              <w:rPr>
                <w:rFonts w:ascii="Arial" w:hAnsi="Arial" w:cs="Arial"/>
                <w:szCs w:val="24"/>
                <w:u w:val="single"/>
              </w:rPr>
            </w:pPr>
          </w:p>
        </w:tc>
      </w:tr>
      <w:tr w:rsidR="001978CB" w:rsidRPr="00012344" w:rsidTr="004A1D17">
        <w:tc>
          <w:tcPr>
            <w:tcW w:w="630" w:type="dxa"/>
          </w:tcPr>
          <w:p w:rsidR="001978CB" w:rsidRPr="00012344" w:rsidRDefault="00C22347" w:rsidP="00F35D62">
            <w:pPr>
              <w:jc w:val="both"/>
              <w:rPr>
                <w:rFonts w:ascii="Arial" w:hAnsi="Arial" w:cs="Arial"/>
                <w:bCs/>
                <w:szCs w:val="24"/>
              </w:rPr>
            </w:pPr>
            <w:r>
              <w:rPr>
                <w:rFonts w:ascii="Arial" w:hAnsi="Arial" w:cs="Arial"/>
                <w:bCs/>
                <w:szCs w:val="24"/>
              </w:rPr>
              <w:t>15</w:t>
            </w:r>
            <w:r w:rsidR="001978CB" w:rsidRPr="00012344">
              <w:rPr>
                <w:rFonts w:ascii="Arial" w:hAnsi="Arial" w:cs="Arial"/>
                <w:bCs/>
                <w:szCs w:val="24"/>
              </w:rPr>
              <w:t>.</w:t>
            </w:r>
          </w:p>
        </w:tc>
        <w:tc>
          <w:tcPr>
            <w:tcW w:w="9270" w:type="dxa"/>
            <w:gridSpan w:val="3"/>
          </w:tcPr>
          <w:p w:rsidR="001978CB" w:rsidRPr="00012344" w:rsidRDefault="001978CB" w:rsidP="003B578F">
            <w:pPr>
              <w:jc w:val="both"/>
              <w:rPr>
                <w:rFonts w:ascii="Arial" w:hAnsi="Arial" w:cs="Arial"/>
                <w:szCs w:val="24"/>
              </w:rPr>
            </w:pPr>
            <w:r w:rsidRPr="00012344">
              <w:rPr>
                <w:rFonts w:ascii="Arial" w:hAnsi="Arial" w:cs="Arial"/>
                <w:b/>
                <w:szCs w:val="24"/>
              </w:rPr>
              <w:t>Program Income</w:t>
            </w:r>
            <w:r w:rsidRPr="00012344">
              <w:rPr>
                <w:rFonts w:ascii="Arial" w:hAnsi="Arial" w:cs="Arial"/>
                <w:szCs w:val="24"/>
              </w:rPr>
              <w:t xml:space="preserve"> means revenue generated by the Contractor from contract-supported activities.  Program income includes income earned from license fees and royalties for copyrighted material, patents, patent applications, trademarks, and inventions produced with contract funds; voluntary</w:t>
            </w:r>
            <w:r w:rsidRPr="00012344">
              <w:rPr>
                <w:rFonts w:ascii="Arial" w:hAnsi="Arial" w:cs="Arial"/>
                <w:spacing w:val="27"/>
                <w:szCs w:val="24"/>
              </w:rPr>
              <w:t xml:space="preserve"> </w:t>
            </w:r>
            <w:r w:rsidRPr="00012344">
              <w:rPr>
                <w:rFonts w:ascii="Arial" w:hAnsi="Arial" w:cs="Arial"/>
                <w:szCs w:val="24"/>
              </w:rPr>
              <w:t>contributions</w:t>
            </w:r>
            <w:r w:rsidRPr="00012344">
              <w:rPr>
                <w:rFonts w:ascii="Arial" w:hAnsi="Arial" w:cs="Arial"/>
                <w:spacing w:val="27"/>
                <w:szCs w:val="24"/>
              </w:rPr>
              <w:t xml:space="preserve"> </w:t>
            </w:r>
            <w:r w:rsidRPr="00012344">
              <w:rPr>
                <w:rFonts w:ascii="Arial" w:hAnsi="Arial" w:cs="Arial"/>
                <w:szCs w:val="24"/>
              </w:rPr>
              <w:t>received</w:t>
            </w:r>
            <w:r w:rsidRPr="00012344">
              <w:rPr>
                <w:rFonts w:ascii="Arial" w:hAnsi="Arial" w:cs="Arial"/>
                <w:spacing w:val="27"/>
                <w:szCs w:val="24"/>
              </w:rPr>
              <w:t xml:space="preserve"> </w:t>
            </w:r>
            <w:r w:rsidRPr="00012344">
              <w:rPr>
                <w:rFonts w:ascii="Arial" w:hAnsi="Arial" w:cs="Arial"/>
                <w:szCs w:val="24"/>
              </w:rPr>
              <w:t>from</w:t>
            </w:r>
            <w:r w:rsidRPr="00012344">
              <w:rPr>
                <w:rFonts w:ascii="Arial" w:hAnsi="Arial" w:cs="Arial"/>
                <w:spacing w:val="27"/>
                <w:szCs w:val="24"/>
              </w:rPr>
              <w:t xml:space="preserve"> </w:t>
            </w:r>
            <w:r w:rsidRPr="00012344">
              <w:rPr>
                <w:rFonts w:ascii="Arial" w:hAnsi="Arial" w:cs="Arial"/>
                <w:szCs w:val="24"/>
              </w:rPr>
              <w:t>a</w:t>
            </w:r>
            <w:r w:rsidRPr="00012344">
              <w:rPr>
                <w:rFonts w:ascii="Arial" w:hAnsi="Arial" w:cs="Arial"/>
                <w:spacing w:val="27"/>
                <w:szCs w:val="24"/>
              </w:rPr>
              <w:t xml:space="preserve"> </w:t>
            </w:r>
            <w:r w:rsidRPr="00012344">
              <w:rPr>
                <w:rFonts w:ascii="Arial" w:hAnsi="Arial" w:cs="Arial"/>
                <w:szCs w:val="24"/>
              </w:rPr>
              <w:t>particip</w:t>
            </w:r>
            <w:r w:rsidRPr="00012344">
              <w:rPr>
                <w:rFonts w:ascii="Arial" w:hAnsi="Arial" w:cs="Arial"/>
                <w:spacing w:val="2"/>
                <w:szCs w:val="24"/>
              </w:rPr>
              <w:t>a</w:t>
            </w:r>
            <w:r w:rsidRPr="00012344">
              <w:rPr>
                <w:rFonts w:ascii="Arial" w:hAnsi="Arial" w:cs="Arial"/>
                <w:szCs w:val="24"/>
              </w:rPr>
              <w:t>nt</w:t>
            </w:r>
            <w:r w:rsidRPr="00012344">
              <w:rPr>
                <w:rFonts w:ascii="Arial" w:hAnsi="Arial" w:cs="Arial"/>
                <w:spacing w:val="27"/>
                <w:szCs w:val="24"/>
              </w:rPr>
              <w:t xml:space="preserve"> </w:t>
            </w:r>
            <w:r w:rsidRPr="00012344">
              <w:rPr>
                <w:rFonts w:ascii="Arial" w:hAnsi="Arial" w:cs="Arial"/>
                <w:szCs w:val="24"/>
              </w:rPr>
              <w:t>or</w:t>
            </w:r>
            <w:r w:rsidRPr="00012344">
              <w:rPr>
                <w:rFonts w:ascii="Arial" w:hAnsi="Arial" w:cs="Arial"/>
                <w:spacing w:val="27"/>
                <w:szCs w:val="24"/>
              </w:rPr>
              <w:t xml:space="preserve"> </w:t>
            </w:r>
            <w:r w:rsidRPr="00012344">
              <w:rPr>
                <w:rFonts w:ascii="Arial" w:hAnsi="Arial" w:cs="Arial"/>
                <w:szCs w:val="24"/>
              </w:rPr>
              <w:t>responsible</w:t>
            </w:r>
            <w:r w:rsidRPr="00012344">
              <w:rPr>
                <w:rFonts w:ascii="Arial" w:hAnsi="Arial" w:cs="Arial"/>
                <w:spacing w:val="27"/>
                <w:szCs w:val="24"/>
              </w:rPr>
              <w:t xml:space="preserve"> </w:t>
            </w:r>
            <w:r w:rsidRPr="00012344">
              <w:rPr>
                <w:rFonts w:ascii="Arial" w:hAnsi="Arial" w:cs="Arial"/>
                <w:szCs w:val="24"/>
              </w:rPr>
              <w:t xml:space="preserve">party as a result of services; income from usage or rental fees of real or personal property acquired with grant funds or funds provided under this Agreement, </w:t>
            </w:r>
            <w:r w:rsidRPr="00012344">
              <w:rPr>
                <w:rFonts w:ascii="Arial" w:hAnsi="Arial" w:cs="Arial"/>
                <w:position w:val="-1"/>
                <w:szCs w:val="24"/>
              </w:rPr>
              <w:t xml:space="preserve">proceeds from sale of items </w:t>
            </w:r>
            <w:r w:rsidRPr="00012344">
              <w:rPr>
                <w:rFonts w:ascii="Arial" w:hAnsi="Arial" w:cs="Arial"/>
                <w:spacing w:val="-2"/>
                <w:position w:val="-1"/>
                <w:szCs w:val="24"/>
              </w:rPr>
              <w:t>f</w:t>
            </w:r>
            <w:r w:rsidRPr="00012344">
              <w:rPr>
                <w:rFonts w:ascii="Arial" w:hAnsi="Arial" w:cs="Arial"/>
                <w:position w:val="-1"/>
                <w:szCs w:val="24"/>
              </w:rPr>
              <w:t>abricated under a contract agreement.</w:t>
            </w:r>
            <w:r w:rsidR="00C22347">
              <w:rPr>
                <w:rFonts w:ascii="Arial" w:hAnsi="Arial" w:cs="Arial"/>
                <w:position w:val="-1"/>
                <w:szCs w:val="24"/>
              </w:rPr>
              <w:t xml:space="preserve"> Program income:</w:t>
            </w:r>
          </w:p>
        </w:tc>
      </w:tr>
      <w:tr w:rsidR="003B0D32" w:rsidRPr="00012344" w:rsidTr="004A1D17">
        <w:tc>
          <w:tcPr>
            <w:tcW w:w="630" w:type="dxa"/>
          </w:tcPr>
          <w:p w:rsidR="003B0D32" w:rsidRPr="00012344" w:rsidRDefault="003B0D32" w:rsidP="00F35D62">
            <w:pPr>
              <w:jc w:val="both"/>
              <w:rPr>
                <w:rFonts w:ascii="Arial" w:hAnsi="Arial" w:cs="Arial"/>
                <w:bCs/>
                <w:szCs w:val="24"/>
              </w:rPr>
            </w:pPr>
          </w:p>
        </w:tc>
        <w:tc>
          <w:tcPr>
            <w:tcW w:w="450" w:type="dxa"/>
            <w:shd w:val="clear" w:color="auto" w:fill="auto"/>
          </w:tcPr>
          <w:p w:rsidR="003B0D32" w:rsidRPr="00012344" w:rsidRDefault="003B0D32" w:rsidP="00F35D62">
            <w:pPr>
              <w:jc w:val="both"/>
              <w:rPr>
                <w:rFonts w:ascii="Arial" w:hAnsi="Arial" w:cs="Arial"/>
                <w:szCs w:val="24"/>
              </w:rPr>
            </w:pPr>
          </w:p>
        </w:tc>
        <w:tc>
          <w:tcPr>
            <w:tcW w:w="8820" w:type="dxa"/>
            <w:gridSpan w:val="2"/>
            <w:shd w:val="clear" w:color="auto" w:fill="auto"/>
          </w:tcPr>
          <w:p w:rsidR="003B0D32" w:rsidRPr="00012344" w:rsidRDefault="003B0D32" w:rsidP="00F35D62">
            <w:pPr>
              <w:jc w:val="both"/>
              <w:rPr>
                <w:rFonts w:ascii="Arial" w:hAnsi="Arial" w:cs="Arial"/>
                <w:szCs w:val="24"/>
              </w:rPr>
            </w:pP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a.</w:t>
            </w:r>
          </w:p>
        </w:tc>
        <w:tc>
          <w:tcPr>
            <w:tcW w:w="8820" w:type="dxa"/>
            <w:gridSpan w:val="2"/>
            <w:shd w:val="clear" w:color="auto" w:fill="auto"/>
          </w:tcPr>
          <w:p w:rsidR="001978CB" w:rsidRPr="00012344" w:rsidRDefault="001978CB" w:rsidP="003B578F">
            <w:pPr>
              <w:jc w:val="both"/>
              <w:rPr>
                <w:rFonts w:ascii="Arial" w:hAnsi="Arial" w:cs="Arial"/>
                <w:szCs w:val="24"/>
              </w:rPr>
            </w:pPr>
            <w:r w:rsidRPr="00012344">
              <w:rPr>
                <w:rFonts w:ascii="Arial" w:hAnsi="Arial" w:cs="Arial"/>
                <w:szCs w:val="24"/>
              </w:rPr>
              <w:t>Must be reported and expended under the same terms and conditions as the program funds from which it is generated</w:t>
            </w:r>
            <w:r w:rsidR="00C22347">
              <w:rPr>
                <w:rFonts w:ascii="Arial" w:hAnsi="Arial" w:cs="Arial"/>
                <w:szCs w:val="24"/>
              </w:rPr>
              <w:t>;</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b.</w:t>
            </w:r>
          </w:p>
        </w:tc>
        <w:tc>
          <w:tcPr>
            <w:tcW w:w="8820" w:type="dxa"/>
            <w:gridSpan w:val="2"/>
            <w:shd w:val="clear" w:color="auto" w:fill="auto"/>
          </w:tcPr>
          <w:p w:rsidR="001978CB" w:rsidRPr="00012344" w:rsidRDefault="001978CB" w:rsidP="003B578F">
            <w:pPr>
              <w:jc w:val="both"/>
              <w:rPr>
                <w:rFonts w:ascii="Arial" w:hAnsi="Arial" w:cs="Arial"/>
                <w:szCs w:val="24"/>
              </w:rPr>
            </w:pPr>
            <w:r w:rsidRPr="00012344">
              <w:rPr>
                <w:rFonts w:ascii="Arial" w:hAnsi="Arial" w:cs="Arial"/>
                <w:szCs w:val="24"/>
              </w:rPr>
              <w:t xml:space="preserve">Must be used to pay for current allowable costs of the program in the same fiscal year that the income </w:t>
            </w:r>
            <w:r w:rsidR="00C22347">
              <w:rPr>
                <w:rFonts w:ascii="Arial" w:hAnsi="Arial" w:cs="Arial"/>
                <w:szCs w:val="24"/>
              </w:rPr>
              <w:t>was earned (except as noted in d</w:t>
            </w:r>
            <w:r w:rsidRPr="00012344">
              <w:rPr>
                <w:rFonts w:ascii="Arial" w:hAnsi="Arial" w:cs="Arial"/>
                <w:szCs w:val="24"/>
              </w:rPr>
              <w:t>)</w:t>
            </w:r>
            <w:r w:rsidR="00C22347">
              <w:rPr>
                <w:rFonts w:ascii="Arial" w:hAnsi="Arial" w:cs="Arial"/>
                <w:szCs w:val="24"/>
              </w:rPr>
              <w:t>;</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c.</w:t>
            </w:r>
          </w:p>
        </w:tc>
        <w:tc>
          <w:tcPr>
            <w:tcW w:w="8820" w:type="dxa"/>
            <w:gridSpan w:val="2"/>
            <w:shd w:val="clear" w:color="auto" w:fill="auto"/>
          </w:tcPr>
          <w:p w:rsidR="001978CB" w:rsidRPr="00012344" w:rsidRDefault="001978CB" w:rsidP="00C22347">
            <w:pPr>
              <w:autoSpaceDE w:val="0"/>
              <w:autoSpaceDN w:val="0"/>
              <w:adjustRightInd w:val="0"/>
              <w:jc w:val="both"/>
              <w:rPr>
                <w:rFonts w:ascii="Arial" w:hAnsi="Arial" w:cs="Arial"/>
                <w:bCs/>
                <w:szCs w:val="24"/>
              </w:rPr>
            </w:pPr>
            <w:r w:rsidRPr="00012344">
              <w:rPr>
                <w:rFonts w:ascii="Arial" w:hAnsi="Arial" w:cs="Arial"/>
                <w:szCs w:val="24"/>
              </w:rPr>
              <w:t xml:space="preserve">For Title III B, III C, III D, </w:t>
            </w:r>
            <w:r w:rsidR="004A1D17">
              <w:rPr>
                <w:rFonts w:ascii="Arial" w:hAnsi="Arial" w:cs="Arial"/>
                <w:szCs w:val="24"/>
              </w:rPr>
              <w:t xml:space="preserve">III E, VII Ombudsman, and VII </w:t>
            </w:r>
            <w:r w:rsidRPr="00012344">
              <w:rPr>
                <w:rFonts w:ascii="Arial" w:hAnsi="Arial" w:cs="Arial"/>
                <w:szCs w:val="24"/>
              </w:rPr>
              <w:t>Elder Abuse Prevention programs, Program Income must be spent before cont</w:t>
            </w:r>
            <w:r w:rsidR="004A1D17">
              <w:rPr>
                <w:rFonts w:ascii="Arial" w:hAnsi="Arial" w:cs="Arial"/>
                <w:szCs w:val="24"/>
              </w:rPr>
              <w:t>ract funds (except as noted in d</w:t>
            </w:r>
            <w:r w:rsidRPr="00012344">
              <w:rPr>
                <w:rFonts w:ascii="Arial" w:hAnsi="Arial" w:cs="Arial"/>
                <w:szCs w:val="24"/>
              </w:rPr>
              <w:t>) and may reduce the total amount of contract funds payable to the Contractor</w:t>
            </w:r>
            <w:r w:rsidR="00C22347">
              <w:rPr>
                <w:rFonts w:ascii="Arial" w:hAnsi="Arial" w:cs="Arial"/>
                <w:szCs w:val="24"/>
              </w:rPr>
              <w:t xml:space="preserve">; </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d.</w:t>
            </w:r>
          </w:p>
        </w:tc>
        <w:tc>
          <w:tcPr>
            <w:tcW w:w="8820" w:type="dxa"/>
            <w:gridSpan w:val="2"/>
            <w:shd w:val="clear" w:color="auto" w:fill="auto"/>
          </w:tcPr>
          <w:p w:rsidR="001978CB" w:rsidRPr="00012344" w:rsidRDefault="001978CB" w:rsidP="003B578F">
            <w:pPr>
              <w:jc w:val="both"/>
              <w:rPr>
                <w:rFonts w:ascii="Arial" w:hAnsi="Arial" w:cs="Arial"/>
                <w:b/>
                <w:szCs w:val="24"/>
              </w:rPr>
            </w:pPr>
            <w:r w:rsidRPr="00012344">
              <w:rPr>
                <w:rFonts w:ascii="Arial" w:hAnsi="Arial" w:cs="Arial"/>
                <w:szCs w:val="24"/>
              </w:rPr>
              <w:t xml:space="preserve">For Title III B, III C, III D, </w:t>
            </w:r>
            <w:r w:rsidR="004A1D17">
              <w:rPr>
                <w:rFonts w:ascii="Arial" w:hAnsi="Arial" w:cs="Arial"/>
                <w:szCs w:val="24"/>
              </w:rPr>
              <w:t xml:space="preserve">III E, VII Ombudsman, and VII </w:t>
            </w:r>
            <w:r w:rsidRPr="00012344">
              <w:rPr>
                <w:rFonts w:ascii="Arial" w:hAnsi="Arial" w:cs="Arial"/>
                <w:szCs w:val="24"/>
              </w:rPr>
              <w:t>Elder Abuse Prevention programs, if Program Income is earned in excess of the amount reported in the Area Plan Budget (</w:t>
            </w:r>
            <w:proofErr w:type="spellStart"/>
            <w:r w:rsidRPr="00012344">
              <w:rPr>
                <w:rFonts w:ascii="Arial" w:hAnsi="Arial" w:cs="Arial"/>
                <w:szCs w:val="24"/>
              </w:rPr>
              <w:t>CDA</w:t>
            </w:r>
            <w:proofErr w:type="spellEnd"/>
            <w:r w:rsidRPr="00012344">
              <w:rPr>
                <w:rFonts w:ascii="Arial" w:hAnsi="Arial" w:cs="Arial"/>
                <w:szCs w:val="24"/>
              </w:rPr>
              <w:t xml:space="preserve"> 122), the excess amount may be deferred for use in the first quarter of the following contract period, which is the last quarter of the </w:t>
            </w:r>
            <w:r w:rsidRPr="00012344">
              <w:rPr>
                <w:rFonts w:ascii="Arial" w:hAnsi="Arial" w:cs="Arial"/>
                <w:szCs w:val="24"/>
              </w:rPr>
              <w:lastRenderedPageBreak/>
              <w:t>federal fiscal year</w:t>
            </w:r>
            <w:r w:rsidR="00C22347">
              <w:rPr>
                <w:rFonts w:ascii="Arial" w:hAnsi="Arial" w:cs="Arial"/>
                <w:szCs w:val="24"/>
              </w:rPr>
              <w:t>;</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e.</w:t>
            </w:r>
          </w:p>
        </w:tc>
        <w:tc>
          <w:tcPr>
            <w:tcW w:w="8820" w:type="dxa"/>
            <w:gridSpan w:val="2"/>
            <w:shd w:val="clear" w:color="auto" w:fill="auto"/>
          </w:tcPr>
          <w:p w:rsidR="001978CB" w:rsidRPr="00012344" w:rsidRDefault="001978CB" w:rsidP="003B578F">
            <w:pPr>
              <w:jc w:val="both"/>
              <w:rPr>
                <w:rFonts w:ascii="Arial" w:hAnsi="Arial" w:cs="Arial"/>
                <w:b/>
                <w:szCs w:val="24"/>
              </w:rPr>
            </w:pPr>
            <w:r w:rsidRPr="00012344">
              <w:rPr>
                <w:rFonts w:ascii="Arial" w:hAnsi="Arial" w:cs="Arial"/>
                <w:szCs w:val="24"/>
              </w:rPr>
              <w:t>If Program Income is deferred for use it must be used by the last day of the federal fiscal year, and reported when used</w:t>
            </w:r>
            <w:r w:rsidR="00C22347">
              <w:rPr>
                <w:rFonts w:ascii="Arial" w:hAnsi="Arial" w:cs="Arial"/>
                <w:szCs w:val="24"/>
              </w:rPr>
              <w:t>;</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f.</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Program Income may not be used to meet the matching requirements of this Agreement</w:t>
            </w:r>
            <w:r w:rsidR="00C22347">
              <w:rPr>
                <w:rFonts w:ascii="Arial" w:hAnsi="Arial" w:cs="Arial"/>
                <w:szCs w:val="24"/>
              </w:rPr>
              <w:t>; and</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g.</w:t>
            </w:r>
          </w:p>
        </w:tc>
        <w:tc>
          <w:tcPr>
            <w:tcW w:w="8820" w:type="dxa"/>
            <w:gridSpan w:val="2"/>
            <w:shd w:val="clear" w:color="auto" w:fill="auto"/>
          </w:tcPr>
          <w:p w:rsidR="001978CB" w:rsidRPr="00012344" w:rsidRDefault="001978CB" w:rsidP="003B578F">
            <w:pPr>
              <w:rPr>
                <w:rFonts w:ascii="Arial" w:hAnsi="Arial" w:cs="Arial"/>
                <w:szCs w:val="24"/>
              </w:rPr>
            </w:pPr>
            <w:r w:rsidRPr="00012344">
              <w:rPr>
                <w:rFonts w:ascii="Arial" w:hAnsi="Arial" w:cs="Arial"/>
                <w:szCs w:val="24"/>
              </w:rPr>
              <w:t xml:space="preserve">Must be used to expand baseline services. </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9270" w:type="dxa"/>
            <w:gridSpan w:val="3"/>
            <w:shd w:val="clear" w:color="auto" w:fill="auto"/>
          </w:tcPr>
          <w:p w:rsidR="001978CB" w:rsidRPr="00012344" w:rsidRDefault="001978CB" w:rsidP="00F35D62">
            <w:pPr>
              <w:jc w:val="both"/>
              <w:rPr>
                <w:rFonts w:ascii="Arial" w:hAnsi="Arial" w:cs="Arial"/>
                <w:b/>
                <w:bCs/>
                <w:szCs w:val="24"/>
              </w:rPr>
            </w:pPr>
          </w:p>
        </w:tc>
      </w:tr>
      <w:tr w:rsidR="001978CB" w:rsidRPr="00012344" w:rsidTr="004A1D17">
        <w:tc>
          <w:tcPr>
            <w:tcW w:w="630" w:type="dxa"/>
          </w:tcPr>
          <w:p w:rsidR="001978CB" w:rsidRPr="00012344" w:rsidRDefault="00C22347" w:rsidP="00F35D62">
            <w:pPr>
              <w:jc w:val="both"/>
              <w:rPr>
                <w:rFonts w:ascii="Arial" w:hAnsi="Arial" w:cs="Arial"/>
                <w:bCs/>
                <w:szCs w:val="24"/>
              </w:rPr>
            </w:pPr>
            <w:r>
              <w:rPr>
                <w:rFonts w:ascii="Arial" w:hAnsi="Arial" w:cs="Arial"/>
                <w:bCs/>
                <w:szCs w:val="24"/>
              </w:rPr>
              <w:t>16</w:t>
            </w:r>
            <w:r w:rsidR="001978CB" w:rsidRPr="00012344">
              <w:rPr>
                <w:rFonts w:ascii="Arial" w:hAnsi="Arial" w:cs="Arial"/>
                <w:bCs/>
                <w:szCs w:val="24"/>
              </w:rPr>
              <w:t>.</w:t>
            </w:r>
          </w:p>
        </w:tc>
        <w:tc>
          <w:tcPr>
            <w:tcW w:w="9270" w:type="dxa"/>
            <w:gridSpan w:val="3"/>
            <w:shd w:val="clear" w:color="auto" w:fill="auto"/>
          </w:tcPr>
          <w:p w:rsidR="001978CB" w:rsidRPr="00012344" w:rsidRDefault="001978CB" w:rsidP="003B578F">
            <w:pPr>
              <w:jc w:val="both"/>
              <w:rPr>
                <w:rFonts w:ascii="Arial" w:hAnsi="Arial" w:cs="Arial"/>
                <w:szCs w:val="24"/>
              </w:rPr>
            </w:pPr>
            <w:r w:rsidRPr="00012344">
              <w:rPr>
                <w:rFonts w:ascii="Arial" w:hAnsi="Arial" w:cs="Arial"/>
                <w:b/>
                <w:szCs w:val="24"/>
              </w:rPr>
              <w:t xml:space="preserve">Indirect Costs </w:t>
            </w:r>
            <w:r w:rsidRPr="00012344">
              <w:rPr>
                <w:rFonts w:ascii="Arial" w:hAnsi="Arial" w:cs="Arial"/>
                <w:szCs w:val="24"/>
              </w:rPr>
              <w:t>means costs incurred for a common or joint purpose benefiting more than one cost objective and not readily assignable to the cost objective specifically benefited, without effort disproportionate to the results achieved.</w:t>
            </w:r>
          </w:p>
        </w:tc>
      </w:tr>
      <w:tr w:rsidR="009A1D93" w:rsidRPr="00012344" w:rsidTr="004A1D17">
        <w:tc>
          <w:tcPr>
            <w:tcW w:w="630" w:type="dxa"/>
          </w:tcPr>
          <w:p w:rsidR="009A1D93" w:rsidRPr="00012344" w:rsidRDefault="009A1D93" w:rsidP="00F35D62">
            <w:pPr>
              <w:jc w:val="both"/>
              <w:rPr>
                <w:rFonts w:ascii="Arial" w:hAnsi="Arial" w:cs="Arial"/>
                <w:bCs/>
                <w:szCs w:val="24"/>
              </w:rPr>
            </w:pPr>
          </w:p>
        </w:tc>
        <w:tc>
          <w:tcPr>
            <w:tcW w:w="540" w:type="dxa"/>
            <w:gridSpan w:val="2"/>
            <w:shd w:val="clear" w:color="auto" w:fill="auto"/>
          </w:tcPr>
          <w:p w:rsidR="009A1D93" w:rsidRPr="00012344" w:rsidRDefault="009A1D93" w:rsidP="00F35D62">
            <w:pPr>
              <w:jc w:val="both"/>
              <w:rPr>
                <w:rFonts w:ascii="Arial" w:hAnsi="Arial" w:cs="Arial"/>
                <w:szCs w:val="24"/>
              </w:rPr>
            </w:pPr>
          </w:p>
        </w:tc>
        <w:tc>
          <w:tcPr>
            <w:tcW w:w="8730" w:type="dxa"/>
            <w:shd w:val="clear" w:color="auto" w:fill="auto"/>
          </w:tcPr>
          <w:p w:rsidR="009A1D93" w:rsidRPr="00012344" w:rsidRDefault="009A1D93" w:rsidP="005753BB">
            <w:pPr>
              <w:autoSpaceDE w:val="0"/>
              <w:autoSpaceDN w:val="0"/>
              <w:adjustRightInd w:val="0"/>
              <w:jc w:val="both"/>
              <w:rPr>
                <w:rFonts w:ascii="Arial" w:hAnsi="Arial" w:cs="Arial"/>
                <w:szCs w:val="24"/>
              </w:rPr>
            </w:pP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540" w:type="dxa"/>
            <w:gridSpan w:val="2"/>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a.</w:t>
            </w:r>
          </w:p>
        </w:tc>
        <w:tc>
          <w:tcPr>
            <w:tcW w:w="8730" w:type="dxa"/>
            <w:shd w:val="clear" w:color="auto" w:fill="auto"/>
          </w:tcPr>
          <w:p w:rsidR="001978CB" w:rsidRPr="00012344" w:rsidRDefault="001978CB" w:rsidP="005753BB">
            <w:pPr>
              <w:autoSpaceDE w:val="0"/>
              <w:autoSpaceDN w:val="0"/>
              <w:adjustRightInd w:val="0"/>
              <w:jc w:val="both"/>
              <w:rPr>
                <w:rFonts w:ascii="Arial" w:hAnsi="Arial" w:cs="Arial"/>
                <w:bCs/>
                <w:szCs w:val="24"/>
              </w:rPr>
            </w:pPr>
            <w:r w:rsidRPr="00012344">
              <w:rPr>
                <w:rFonts w:ascii="Arial" w:hAnsi="Arial" w:cs="Arial"/>
                <w:szCs w:val="24"/>
              </w:rPr>
              <w:t xml:space="preserve">The maximum reimbursement amount allowable for indirect costs is ten percent (10%) of the Contractor’s direct costs, excluding in-kind contributions and nonexpendable equipment. </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540" w:type="dxa"/>
            <w:gridSpan w:val="2"/>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b.</w:t>
            </w:r>
          </w:p>
        </w:tc>
        <w:tc>
          <w:tcPr>
            <w:tcW w:w="8730" w:type="dxa"/>
            <w:shd w:val="clear" w:color="auto" w:fill="auto"/>
          </w:tcPr>
          <w:p w:rsidR="001978CB" w:rsidRPr="00012344" w:rsidRDefault="001978CB" w:rsidP="003B578F">
            <w:pPr>
              <w:autoSpaceDE w:val="0"/>
              <w:autoSpaceDN w:val="0"/>
              <w:adjustRightInd w:val="0"/>
              <w:jc w:val="both"/>
              <w:rPr>
                <w:rFonts w:ascii="Arial" w:hAnsi="Arial" w:cs="Arial"/>
                <w:bCs/>
                <w:szCs w:val="24"/>
              </w:rPr>
            </w:pPr>
            <w:r w:rsidRPr="00012344">
              <w:rPr>
                <w:rFonts w:ascii="Arial" w:hAnsi="Arial" w:cs="Arial"/>
                <w:szCs w:val="24"/>
              </w:rPr>
              <w:t>Contractors requesting reimbursement for indirect costs shall retain on file an approved indirect cost rate or an allocation plan documenting the methodology used to determine the indirect costs.</w:t>
            </w:r>
          </w:p>
        </w:tc>
      </w:tr>
      <w:tr w:rsidR="005753BB" w:rsidRPr="00012344" w:rsidTr="004A1D17">
        <w:tc>
          <w:tcPr>
            <w:tcW w:w="630" w:type="dxa"/>
          </w:tcPr>
          <w:p w:rsidR="005753BB" w:rsidRPr="00012344" w:rsidRDefault="005753BB" w:rsidP="00F35D62">
            <w:pPr>
              <w:jc w:val="both"/>
              <w:rPr>
                <w:rFonts w:ascii="Arial" w:hAnsi="Arial" w:cs="Arial"/>
                <w:bCs/>
                <w:szCs w:val="24"/>
              </w:rPr>
            </w:pPr>
          </w:p>
        </w:tc>
        <w:tc>
          <w:tcPr>
            <w:tcW w:w="540" w:type="dxa"/>
            <w:gridSpan w:val="2"/>
            <w:shd w:val="clear" w:color="auto" w:fill="auto"/>
          </w:tcPr>
          <w:p w:rsidR="005753BB" w:rsidRPr="00012344" w:rsidRDefault="005753BB" w:rsidP="00F35D62">
            <w:pPr>
              <w:jc w:val="both"/>
              <w:rPr>
                <w:rFonts w:ascii="Arial" w:hAnsi="Arial" w:cs="Arial"/>
                <w:szCs w:val="24"/>
              </w:rPr>
            </w:pPr>
            <w:r>
              <w:rPr>
                <w:rFonts w:ascii="Arial" w:hAnsi="Arial" w:cs="Arial"/>
                <w:szCs w:val="24"/>
              </w:rPr>
              <w:t>c.</w:t>
            </w:r>
          </w:p>
        </w:tc>
        <w:tc>
          <w:tcPr>
            <w:tcW w:w="8730" w:type="dxa"/>
            <w:shd w:val="clear" w:color="auto" w:fill="auto"/>
          </w:tcPr>
          <w:p w:rsidR="005753BB" w:rsidRPr="00012344" w:rsidRDefault="005753BB" w:rsidP="003B578F">
            <w:pPr>
              <w:autoSpaceDE w:val="0"/>
              <w:autoSpaceDN w:val="0"/>
              <w:adjustRightInd w:val="0"/>
              <w:jc w:val="both"/>
              <w:rPr>
                <w:rFonts w:ascii="Arial" w:hAnsi="Arial" w:cs="Arial"/>
                <w:szCs w:val="24"/>
              </w:rPr>
            </w:pPr>
            <w:r w:rsidRPr="00012344">
              <w:rPr>
                <w:rFonts w:ascii="Arial" w:hAnsi="Arial" w:cs="Arial"/>
                <w:szCs w:val="24"/>
              </w:rPr>
              <w:t xml:space="preserve">Indirect costs exceeding the ten percent (10%) maximum may be budgeted as in-kind and used to meet the minimum matching requirements (Title III </w:t>
            </w:r>
            <w:r>
              <w:rPr>
                <w:rFonts w:ascii="Arial" w:hAnsi="Arial" w:cs="Arial"/>
                <w:szCs w:val="24"/>
              </w:rPr>
              <w:t xml:space="preserve">and Title VII </w:t>
            </w:r>
            <w:r w:rsidRPr="00012344">
              <w:rPr>
                <w:rFonts w:ascii="Arial" w:hAnsi="Arial" w:cs="Arial"/>
                <w:szCs w:val="24"/>
              </w:rPr>
              <w:t>only).</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540" w:type="dxa"/>
            <w:gridSpan w:val="2"/>
            <w:shd w:val="clear" w:color="auto" w:fill="auto"/>
          </w:tcPr>
          <w:p w:rsidR="001978CB" w:rsidRPr="00012344" w:rsidRDefault="005753BB" w:rsidP="00F35D62">
            <w:pPr>
              <w:jc w:val="both"/>
              <w:rPr>
                <w:rFonts w:ascii="Arial" w:hAnsi="Arial" w:cs="Arial"/>
                <w:szCs w:val="24"/>
              </w:rPr>
            </w:pPr>
            <w:r>
              <w:rPr>
                <w:rFonts w:ascii="Arial" w:hAnsi="Arial" w:cs="Arial"/>
                <w:szCs w:val="24"/>
              </w:rPr>
              <w:t>d.</w:t>
            </w:r>
          </w:p>
        </w:tc>
        <w:tc>
          <w:tcPr>
            <w:tcW w:w="8730" w:type="dxa"/>
            <w:shd w:val="clear" w:color="auto" w:fill="auto"/>
          </w:tcPr>
          <w:p w:rsidR="001978CB" w:rsidRPr="00012344" w:rsidRDefault="001978CB" w:rsidP="003B578F">
            <w:pPr>
              <w:autoSpaceDE w:val="0"/>
              <w:autoSpaceDN w:val="0"/>
              <w:adjustRightInd w:val="0"/>
              <w:jc w:val="both"/>
              <w:rPr>
                <w:rFonts w:ascii="Arial" w:hAnsi="Arial" w:cs="Arial"/>
                <w:bCs/>
                <w:szCs w:val="24"/>
              </w:rPr>
            </w:pPr>
            <w:r w:rsidRPr="00012344">
              <w:rPr>
                <w:rFonts w:ascii="Arial" w:hAnsi="Arial" w:cs="Arial"/>
                <w:szCs w:val="24"/>
              </w:rPr>
              <w:t xml:space="preserve">For major Institutes of Higher Education and major nonprofit organizations, indirect costs must be classified within two broad categories: “Facilities” and “Administration.” “Facilities </w:t>
            </w:r>
            <w:proofErr w:type="gramStart"/>
            <w:r w:rsidRPr="00012344">
              <w:rPr>
                <w:rFonts w:ascii="Arial" w:hAnsi="Arial" w:cs="Arial"/>
                <w:szCs w:val="24"/>
              </w:rPr>
              <w:t>is</w:t>
            </w:r>
            <w:proofErr w:type="gramEnd"/>
            <w:r w:rsidRPr="00012344">
              <w:rPr>
                <w:rFonts w:ascii="Arial" w:hAnsi="Arial" w:cs="Arial"/>
                <w:szCs w:val="24"/>
              </w:rPr>
              <w:t xml:space="preserve">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under on one of the subcategories of “Facilities” (including cross allocations from other pools, where applicable). [2 </w:t>
            </w:r>
            <w:proofErr w:type="spellStart"/>
            <w:r w:rsidRPr="00012344">
              <w:rPr>
                <w:rFonts w:ascii="Arial" w:hAnsi="Arial" w:cs="Arial"/>
                <w:szCs w:val="24"/>
              </w:rPr>
              <w:t>CFR</w:t>
            </w:r>
            <w:proofErr w:type="spellEnd"/>
            <w:r w:rsidRPr="00012344">
              <w:rPr>
                <w:rFonts w:ascii="Arial" w:hAnsi="Arial" w:cs="Arial"/>
                <w:szCs w:val="24"/>
              </w:rPr>
              <w:t xml:space="preserve"> 200.414] [45 </w:t>
            </w:r>
            <w:proofErr w:type="spellStart"/>
            <w:r w:rsidRPr="00012344">
              <w:rPr>
                <w:rFonts w:ascii="Arial" w:hAnsi="Arial" w:cs="Arial"/>
                <w:szCs w:val="24"/>
              </w:rPr>
              <w:t>CFR</w:t>
            </w:r>
            <w:proofErr w:type="spellEnd"/>
            <w:r w:rsidRPr="00012344">
              <w:rPr>
                <w:rFonts w:ascii="Arial" w:hAnsi="Arial" w:cs="Arial"/>
                <w:szCs w:val="24"/>
              </w:rPr>
              <w:t xml:space="preserve"> 75.414]</w:t>
            </w:r>
          </w:p>
        </w:tc>
      </w:tr>
    </w:tbl>
    <w:p w:rsidR="009A1D93" w:rsidRDefault="009A1D93"/>
    <w:tbl>
      <w:tblPr>
        <w:tblW w:w="9900" w:type="dxa"/>
        <w:tblInd w:w="108" w:type="dxa"/>
        <w:tblLayout w:type="fixed"/>
        <w:tblLook w:val="0000" w:firstRow="0" w:lastRow="0" w:firstColumn="0" w:lastColumn="0" w:noHBand="0" w:noVBand="0"/>
      </w:tblPr>
      <w:tblGrid>
        <w:gridCol w:w="630"/>
        <w:gridCol w:w="450"/>
        <w:gridCol w:w="90"/>
        <w:gridCol w:w="8640"/>
        <w:gridCol w:w="56"/>
        <w:gridCol w:w="34"/>
      </w:tblGrid>
      <w:tr w:rsidR="001978CB" w:rsidRPr="00012344" w:rsidTr="004A1D17">
        <w:tc>
          <w:tcPr>
            <w:tcW w:w="630" w:type="dxa"/>
          </w:tcPr>
          <w:p w:rsidR="001978CB" w:rsidRPr="00012344" w:rsidRDefault="001978CB" w:rsidP="00F35D62">
            <w:pPr>
              <w:jc w:val="both"/>
              <w:rPr>
                <w:rFonts w:ascii="Arial" w:hAnsi="Arial" w:cs="Arial"/>
                <w:bCs/>
                <w:szCs w:val="24"/>
              </w:rPr>
            </w:pPr>
            <w:r w:rsidRPr="00012344">
              <w:rPr>
                <w:rFonts w:ascii="Arial" w:hAnsi="Arial" w:cs="Arial"/>
                <w:bCs/>
                <w:szCs w:val="24"/>
              </w:rPr>
              <w:t>17.</w:t>
            </w:r>
          </w:p>
        </w:tc>
        <w:tc>
          <w:tcPr>
            <w:tcW w:w="9270" w:type="dxa"/>
            <w:gridSpan w:val="5"/>
            <w:shd w:val="clear" w:color="auto" w:fill="auto"/>
          </w:tcPr>
          <w:p w:rsidR="001978CB" w:rsidRPr="00012344" w:rsidRDefault="00C22347" w:rsidP="001978CB">
            <w:pPr>
              <w:jc w:val="both"/>
              <w:rPr>
                <w:rFonts w:ascii="Arial" w:hAnsi="Arial" w:cs="Arial"/>
                <w:szCs w:val="24"/>
              </w:rPr>
            </w:pPr>
            <w:r>
              <w:rPr>
                <w:rFonts w:ascii="Arial" w:hAnsi="Arial" w:cs="Arial"/>
                <w:szCs w:val="24"/>
              </w:rPr>
              <w:t xml:space="preserve">Contractors </w:t>
            </w:r>
            <w:r w:rsidR="001978CB" w:rsidRPr="00012344">
              <w:rPr>
                <w:rFonts w:ascii="Arial" w:hAnsi="Arial" w:cs="Arial"/>
                <w:szCs w:val="24"/>
              </w:rPr>
              <w:t>must submit client intake forms as appropriate, monthly program reports, and invoices by the tenth (10</w:t>
            </w:r>
            <w:r w:rsidR="001978CB" w:rsidRPr="00012344">
              <w:rPr>
                <w:rFonts w:ascii="Arial" w:hAnsi="Arial" w:cs="Arial"/>
                <w:szCs w:val="24"/>
                <w:vertAlign w:val="superscript"/>
              </w:rPr>
              <w:t>th</w:t>
            </w:r>
            <w:r w:rsidR="001978CB" w:rsidRPr="00012344">
              <w:rPr>
                <w:rFonts w:ascii="Arial" w:hAnsi="Arial" w:cs="Arial"/>
                <w:szCs w:val="24"/>
              </w:rPr>
              <w:t xml:space="preserve">) of each month.  Upon notification from </w:t>
            </w:r>
            <w:proofErr w:type="spellStart"/>
            <w:r w:rsidR="001978CB" w:rsidRPr="00012344">
              <w:rPr>
                <w:rFonts w:ascii="Arial" w:hAnsi="Arial" w:cs="Arial"/>
                <w:szCs w:val="24"/>
              </w:rPr>
              <w:t>AAS</w:t>
            </w:r>
            <w:proofErr w:type="spellEnd"/>
            <w:r w:rsidR="001978CB" w:rsidRPr="00012344">
              <w:rPr>
                <w:rFonts w:ascii="Arial" w:hAnsi="Arial" w:cs="Arial"/>
                <w:szCs w:val="24"/>
              </w:rPr>
              <w:t xml:space="preserve">, the Contractor must correct inaccurate invoices and corresponding reports in order to receive reimbursement. Invoices must reflect the provision of services and the usage of funds each month throughout the entire contract period.  </w:t>
            </w:r>
            <w:r w:rsidR="001978CB" w:rsidRPr="00012344">
              <w:rPr>
                <w:rFonts w:ascii="Arial" w:hAnsi="Arial" w:cs="Arial"/>
                <w:b/>
                <w:szCs w:val="24"/>
              </w:rPr>
              <w:t>Corrections must be made within five (5) working days.</w:t>
            </w:r>
            <w:r w:rsidR="001978CB" w:rsidRPr="00012344">
              <w:rPr>
                <w:rFonts w:ascii="Arial" w:hAnsi="Arial" w:cs="Arial"/>
                <w:szCs w:val="24"/>
              </w:rPr>
              <w:t xml:space="preserve"> Invoices submitted more than two months past the month of service may not be reimbursed. </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9270" w:type="dxa"/>
            <w:gridSpan w:val="5"/>
            <w:shd w:val="clear" w:color="auto" w:fill="auto"/>
          </w:tcPr>
          <w:p w:rsidR="001978CB" w:rsidRPr="00012344" w:rsidRDefault="001978CB" w:rsidP="00F35D62">
            <w:pPr>
              <w:autoSpaceDE w:val="0"/>
              <w:autoSpaceDN w:val="0"/>
              <w:adjustRightInd w:val="0"/>
              <w:jc w:val="both"/>
              <w:rPr>
                <w:rFonts w:ascii="Arial" w:hAnsi="Arial" w:cs="Arial"/>
                <w:bCs/>
                <w:szCs w:val="24"/>
              </w:rPr>
            </w:pPr>
          </w:p>
        </w:tc>
      </w:tr>
      <w:tr w:rsidR="001978CB" w:rsidRPr="00012344" w:rsidTr="004A1D17">
        <w:tc>
          <w:tcPr>
            <w:tcW w:w="630" w:type="dxa"/>
          </w:tcPr>
          <w:p w:rsidR="001978CB" w:rsidRPr="00012344" w:rsidRDefault="001978CB" w:rsidP="00F35D62">
            <w:pPr>
              <w:jc w:val="both"/>
              <w:rPr>
                <w:rFonts w:ascii="Arial" w:hAnsi="Arial" w:cs="Arial"/>
                <w:bCs/>
                <w:szCs w:val="24"/>
              </w:rPr>
            </w:pPr>
            <w:r w:rsidRPr="00012344">
              <w:rPr>
                <w:rFonts w:ascii="Arial" w:hAnsi="Arial" w:cs="Arial"/>
                <w:bCs/>
                <w:szCs w:val="24"/>
              </w:rPr>
              <w:t>18.</w:t>
            </w:r>
          </w:p>
        </w:tc>
        <w:tc>
          <w:tcPr>
            <w:tcW w:w="9270" w:type="dxa"/>
            <w:gridSpan w:val="5"/>
            <w:shd w:val="clear" w:color="auto" w:fill="auto"/>
          </w:tcPr>
          <w:p w:rsidR="001978CB" w:rsidRPr="00012344" w:rsidRDefault="001978CB" w:rsidP="001978CB">
            <w:pPr>
              <w:jc w:val="both"/>
              <w:rPr>
                <w:rFonts w:ascii="Arial" w:hAnsi="Arial" w:cs="Arial"/>
                <w:szCs w:val="24"/>
              </w:rPr>
            </w:pPr>
            <w:r w:rsidRPr="00012344">
              <w:rPr>
                <w:rFonts w:ascii="Arial" w:hAnsi="Arial" w:cs="Arial"/>
                <w:szCs w:val="24"/>
              </w:rPr>
              <w:t xml:space="preserve">Offer services throughout the twelve-month contract period, unless prior written approval is received from </w:t>
            </w:r>
            <w:proofErr w:type="spellStart"/>
            <w:r w:rsidRPr="00012344">
              <w:rPr>
                <w:rFonts w:ascii="Arial" w:hAnsi="Arial" w:cs="Arial"/>
                <w:szCs w:val="24"/>
              </w:rPr>
              <w:t>AAS</w:t>
            </w:r>
            <w:proofErr w:type="spellEnd"/>
            <w:r w:rsidRPr="00012344">
              <w:rPr>
                <w:rFonts w:ascii="Arial" w:hAnsi="Arial" w:cs="Arial"/>
                <w:szCs w:val="24"/>
              </w:rPr>
              <w:t>.</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9270" w:type="dxa"/>
            <w:gridSpan w:val="5"/>
            <w:shd w:val="clear" w:color="auto" w:fill="auto"/>
          </w:tcPr>
          <w:p w:rsidR="001978CB" w:rsidRPr="00012344" w:rsidRDefault="001978CB" w:rsidP="00F35D62">
            <w:pPr>
              <w:autoSpaceDE w:val="0"/>
              <w:autoSpaceDN w:val="0"/>
              <w:adjustRightInd w:val="0"/>
              <w:jc w:val="both"/>
              <w:rPr>
                <w:rFonts w:ascii="Arial" w:hAnsi="Arial" w:cs="Arial"/>
                <w:bCs/>
                <w:szCs w:val="24"/>
              </w:rPr>
            </w:pPr>
          </w:p>
        </w:tc>
      </w:tr>
      <w:tr w:rsidR="001978CB" w:rsidRPr="00012344" w:rsidTr="004A1D17">
        <w:tc>
          <w:tcPr>
            <w:tcW w:w="630" w:type="dxa"/>
          </w:tcPr>
          <w:p w:rsidR="001978CB" w:rsidRPr="00012344" w:rsidRDefault="001978CB" w:rsidP="00F35D62">
            <w:pPr>
              <w:jc w:val="both"/>
              <w:rPr>
                <w:rFonts w:ascii="Arial" w:hAnsi="Arial" w:cs="Arial"/>
                <w:bCs/>
                <w:szCs w:val="24"/>
              </w:rPr>
            </w:pPr>
            <w:r w:rsidRPr="00012344">
              <w:rPr>
                <w:rFonts w:ascii="Arial" w:hAnsi="Arial" w:cs="Arial"/>
                <w:bCs/>
                <w:szCs w:val="24"/>
              </w:rPr>
              <w:t>19.</w:t>
            </w:r>
          </w:p>
        </w:tc>
        <w:tc>
          <w:tcPr>
            <w:tcW w:w="9270" w:type="dxa"/>
            <w:gridSpan w:val="5"/>
            <w:shd w:val="clear" w:color="auto" w:fill="auto"/>
          </w:tcPr>
          <w:p w:rsidR="001978CB" w:rsidRPr="00012344" w:rsidRDefault="001978CB" w:rsidP="003B578F">
            <w:pPr>
              <w:jc w:val="both"/>
              <w:rPr>
                <w:rFonts w:ascii="Arial" w:hAnsi="Arial" w:cs="Arial"/>
                <w:szCs w:val="24"/>
              </w:rPr>
            </w:pPr>
            <w:r w:rsidRPr="00012344">
              <w:rPr>
                <w:rFonts w:ascii="Arial" w:hAnsi="Arial" w:cs="Arial"/>
                <w:szCs w:val="24"/>
              </w:rPr>
              <w:t xml:space="preserve">Invoices must reflect the provision of services and the usage of funds each month throughout the entire contract period. </w:t>
            </w:r>
          </w:p>
        </w:tc>
      </w:tr>
      <w:tr w:rsidR="001978CB" w:rsidRPr="00012344" w:rsidTr="004A1D17">
        <w:tc>
          <w:tcPr>
            <w:tcW w:w="630" w:type="dxa"/>
          </w:tcPr>
          <w:p w:rsidR="001978CB" w:rsidRPr="00012344" w:rsidRDefault="001978CB" w:rsidP="00F35D62">
            <w:pPr>
              <w:jc w:val="both"/>
              <w:rPr>
                <w:rFonts w:ascii="Arial" w:hAnsi="Arial" w:cs="Arial"/>
                <w:bCs/>
                <w:szCs w:val="24"/>
              </w:rPr>
            </w:pPr>
          </w:p>
        </w:tc>
        <w:tc>
          <w:tcPr>
            <w:tcW w:w="9270" w:type="dxa"/>
            <w:gridSpan w:val="5"/>
            <w:shd w:val="clear" w:color="auto" w:fill="auto"/>
          </w:tcPr>
          <w:p w:rsidR="001978CB" w:rsidRPr="00012344" w:rsidRDefault="001978CB" w:rsidP="00F35D62">
            <w:pPr>
              <w:autoSpaceDE w:val="0"/>
              <w:autoSpaceDN w:val="0"/>
              <w:adjustRightInd w:val="0"/>
              <w:jc w:val="both"/>
              <w:rPr>
                <w:rFonts w:ascii="Arial" w:hAnsi="Arial" w:cs="Arial"/>
                <w:bCs/>
                <w:szCs w:val="24"/>
              </w:rPr>
            </w:pPr>
          </w:p>
        </w:tc>
      </w:tr>
      <w:tr w:rsidR="001978CB" w:rsidRPr="00012344" w:rsidTr="004A1D17">
        <w:tc>
          <w:tcPr>
            <w:tcW w:w="630" w:type="dxa"/>
          </w:tcPr>
          <w:p w:rsidR="001978CB" w:rsidRPr="00012344" w:rsidRDefault="00012344" w:rsidP="00F35D62">
            <w:pPr>
              <w:jc w:val="both"/>
              <w:rPr>
                <w:rFonts w:ascii="Arial" w:hAnsi="Arial" w:cs="Arial"/>
                <w:bCs/>
                <w:szCs w:val="24"/>
              </w:rPr>
            </w:pPr>
            <w:r w:rsidRPr="00012344">
              <w:rPr>
                <w:rFonts w:ascii="Arial" w:hAnsi="Arial" w:cs="Arial"/>
                <w:bCs/>
                <w:szCs w:val="24"/>
              </w:rPr>
              <w:t>20.</w:t>
            </w:r>
          </w:p>
        </w:tc>
        <w:tc>
          <w:tcPr>
            <w:tcW w:w="9270" w:type="dxa"/>
            <w:gridSpan w:val="5"/>
            <w:shd w:val="clear" w:color="auto" w:fill="auto"/>
          </w:tcPr>
          <w:p w:rsidR="001978CB" w:rsidRPr="00012344" w:rsidRDefault="00012344" w:rsidP="00F35D62">
            <w:pPr>
              <w:jc w:val="both"/>
              <w:rPr>
                <w:rFonts w:ascii="Arial" w:hAnsi="Arial" w:cs="Arial"/>
                <w:szCs w:val="24"/>
              </w:rPr>
            </w:pPr>
            <w:r w:rsidRPr="00012344">
              <w:rPr>
                <w:rFonts w:ascii="Arial" w:hAnsi="Arial" w:cs="Arial"/>
                <w:szCs w:val="24"/>
              </w:rPr>
              <w:t>Organizations must s</w:t>
            </w:r>
            <w:r w:rsidR="001978CB" w:rsidRPr="00012344">
              <w:rPr>
                <w:rFonts w:ascii="Arial" w:hAnsi="Arial" w:cs="Arial"/>
                <w:szCs w:val="24"/>
              </w:rPr>
              <w:t>ubmit a closeout report with supporting documentation of expenses by a specified date identified in the contract.  Following supporting documents are required for closeout report for each service program:</w:t>
            </w:r>
          </w:p>
        </w:tc>
      </w:tr>
      <w:tr w:rsidR="001978CB" w:rsidRPr="00012344" w:rsidTr="004A1D17">
        <w:trPr>
          <w:gridAfter w:val="1"/>
          <w:wAfter w:w="34" w:type="dxa"/>
        </w:trPr>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p>
        </w:tc>
        <w:tc>
          <w:tcPr>
            <w:tcW w:w="8786" w:type="dxa"/>
            <w:gridSpan w:val="3"/>
            <w:shd w:val="clear" w:color="auto" w:fill="auto"/>
          </w:tcPr>
          <w:p w:rsidR="001978CB" w:rsidRPr="00012344" w:rsidRDefault="001978CB" w:rsidP="00F35D62">
            <w:pPr>
              <w:jc w:val="both"/>
              <w:rPr>
                <w:rFonts w:ascii="Arial" w:hAnsi="Arial" w:cs="Arial"/>
                <w:szCs w:val="24"/>
              </w:rPr>
            </w:pPr>
          </w:p>
        </w:tc>
      </w:tr>
      <w:tr w:rsidR="001978CB" w:rsidRPr="00012344" w:rsidTr="004A1D17">
        <w:trPr>
          <w:gridAfter w:val="1"/>
          <w:wAfter w:w="34" w:type="dxa"/>
        </w:trPr>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a.</w:t>
            </w:r>
          </w:p>
        </w:tc>
        <w:tc>
          <w:tcPr>
            <w:tcW w:w="8786" w:type="dxa"/>
            <w:gridSpan w:val="3"/>
            <w:shd w:val="clear" w:color="auto" w:fill="auto"/>
          </w:tcPr>
          <w:p w:rsidR="001978CB" w:rsidRPr="00012344" w:rsidRDefault="001978CB" w:rsidP="00747313">
            <w:pPr>
              <w:jc w:val="both"/>
              <w:rPr>
                <w:rFonts w:ascii="Arial" w:hAnsi="Arial" w:cs="Arial"/>
                <w:szCs w:val="24"/>
              </w:rPr>
            </w:pPr>
            <w:r w:rsidRPr="00012344">
              <w:rPr>
                <w:rFonts w:ascii="Arial" w:hAnsi="Arial" w:cs="Arial"/>
                <w:szCs w:val="24"/>
              </w:rPr>
              <w:t>A closeout invoice shall be prepared, signed and mailed</w:t>
            </w:r>
            <w:r w:rsidR="00747313">
              <w:rPr>
                <w:rFonts w:ascii="Arial" w:hAnsi="Arial" w:cs="Arial"/>
                <w:szCs w:val="24"/>
              </w:rPr>
              <w:t xml:space="preserve"> or sent electronically </w:t>
            </w:r>
            <w:r w:rsidRPr="00012344">
              <w:rPr>
                <w:rFonts w:ascii="Arial" w:hAnsi="Arial" w:cs="Arial"/>
                <w:szCs w:val="24"/>
              </w:rPr>
              <w:t>with closeout package;</w:t>
            </w:r>
          </w:p>
        </w:tc>
      </w:tr>
      <w:tr w:rsidR="001978CB" w:rsidRPr="00012344" w:rsidTr="004A1D17">
        <w:trPr>
          <w:gridAfter w:val="1"/>
          <w:wAfter w:w="34" w:type="dxa"/>
        </w:trPr>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b.</w:t>
            </w:r>
          </w:p>
        </w:tc>
        <w:tc>
          <w:tcPr>
            <w:tcW w:w="8786" w:type="dxa"/>
            <w:gridSpan w:val="3"/>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 xml:space="preserve">Relevant personnel payroll register </w:t>
            </w:r>
            <w:r w:rsidR="00747313">
              <w:rPr>
                <w:rFonts w:ascii="Arial" w:hAnsi="Arial" w:cs="Arial"/>
                <w:szCs w:val="24"/>
              </w:rPr>
              <w:t xml:space="preserve">and timesheets </w:t>
            </w:r>
            <w:r w:rsidRPr="00012344">
              <w:rPr>
                <w:rFonts w:ascii="Arial" w:hAnsi="Arial" w:cs="Arial"/>
                <w:szCs w:val="24"/>
              </w:rPr>
              <w:t xml:space="preserve">including benefits information for the entire contract period regardless of its funding source; </w:t>
            </w:r>
          </w:p>
        </w:tc>
      </w:tr>
      <w:tr w:rsidR="001978CB" w:rsidRPr="00012344" w:rsidTr="004A1D17">
        <w:trPr>
          <w:gridAfter w:val="1"/>
          <w:wAfter w:w="34" w:type="dxa"/>
        </w:trPr>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c.</w:t>
            </w:r>
          </w:p>
        </w:tc>
        <w:tc>
          <w:tcPr>
            <w:tcW w:w="8786" w:type="dxa"/>
            <w:gridSpan w:val="3"/>
            <w:shd w:val="clear" w:color="auto" w:fill="auto"/>
          </w:tcPr>
          <w:p w:rsidR="001978CB" w:rsidRPr="00012344" w:rsidRDefault="001978CB" w:rsidP="00747313">
            <w:pPr>
              <w:jc w:val="both"/>
              <w:rPr>
                <w:rFonts w:ascii="Arial" w:hAnsi="Arial" w:cs="Arial"/>
                <w:szCs w:val="24"/>
              </w:rPr>
            </w:pPr>
            <w:r w:rsidRPr="00012344">
              <w:rPr>
                <w:rFonts w:ascii="Arial" w:hAnsi="Arial" w:cs="Arial"/>
                <w:szCs w:val="24"/>
              </w:rPr>
              <w:t xml:space="preserve">General ledger for the entire contract period; </w:t>
            </w:r>
          </w:p>
        </w:tc>
      </w:tr>
      <w:tr w:rsidR="001978CB" w:rsidRPr="00012344" w:rsidTr="004A1D17">
        <w:trPr>
          <w:gridAfter w:val="1"/>
          <w:wAfter w:w="34" w:type="dxa"/>
        </w:trPr>
        <w:tc>
          <w:tcPr>
            <w:tcW w:w="630" w:type="dxa"/>
          </w:tcPr>
          <w:p w:rsidR="001978CB" w:rsidRPr="00012344" w:rsidRDefault="001978CB" w:rsidP="00F35D62">
            <w:pPr>
              <w:jc w:val="both"/>
              <w:rPr>
                <w:rFonts w:ascii="Arial" w:hAnsi="Arial" w:cs="Arial"/>
                <w:bCs/>
                <w:szCs w:val="24"/>
              </w:rPr>
            </w:pPr>
          </w:p>
        </w:tc>
        <w:tc>
          <w:tcPr>
            <w:tcW w:w="450" w:type="dxa"/>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d.</w:t>
            </w:r>
          </w:p>
        </w:tc>
        <w:tc>
          <w:tcPr>
            <w:tcW w:w="8786" w:type="dxa"/>
            <w:gridSpan w:val="3"/>
            <w:shd w:val="clear" w:color="auto" w:fill="auto"/>
          </w:tcPr>
          <w:p w:rsidR="001978CB" w:rsidRPr="00012344" w:rsidRDefault="001978CB" w:rsidP="00F35D62">
            <w:pPr>
              <w:jc w:val="both"/>
              <w:rPr>
                <w:rFonts w:ascii="Arial" w:hAnsi="Arial" w:cs="Arial"/>
                <w:szCs w:val="24"/>
              </w:rPr>
            </w:pPr>
            <w:r w:rsidRPr="00012344">
              <w:rPr>
                <w:rFonts w:ascii="Arial" w:hAnsi="Arial" w:cs="Arial"/>
                <w:szCs w:val="24"/>
              </w:rPr>
              <w:t>If the general ledger covers multiple service programs and/or multiple agency records, allocation percentage for each item reported in the closeout and a reconciliation worksheet are required</w:t>
            </w:r>
            <w:r w:rsidR="00747313">
              <w:rPr>
                <w:rFonts w:ascii="Arial" w:hAnsi="Arial" w:cs="Arial"/>
                <w:szCs w:val="24"/>
              </w:rPr>
              <w:t xml:space="preserve">; </w:t>
            </w:r>
            <w:r w:rsidR="00747313" w:rsidRPr="00012344">
              <w:rPr>
                <w:rFonts w:ascii="Arial" w:hAnsi="Arial" w:cs="Arial"/>
                <w:szCs w:val="24"/>
              </w:rPr>
              <w:t>and</w:t>
            </w:r>
          </w:p>
        </w:tc>
      </w:tr>
      <w:tr w:rsidR="00747313" w:rsidRPr="00012344" w:rsidTr="004A1D17">
        <w:trPr>
          <w:gridAfter w:val="1"/>
          <w:wAfter w:w="34" w:type="dxa"/>
        </w:trPr>
        <w:tc>
          <w:tcPr>
            <w:tcW w:w="630" w:type="dxa"/>
          </w:tcPr>
          <w:p w:rsidR="00747313" w:rsidRPr="00012344" w:rsidRDefault="00747313" w:rsidP="00F35D62">
            <w:pPr>
              <w:jc w:val="both"/>
              <w:rPr>
                <w:rFonts w:ascii="Arial" w:hAnsi="Arial" w:cs="Arial"/>
                <w:bCs/>
                <w:szCs w:val="24"/>
              </w:rPr>
            </w:pPr>
          </w:p>
        </w:tc>
        <w:tc>
          <w:tcPr>
            <w:tcW w:w="450" w:type="dxa"/>
            <w:shd w:val="clear" w:color="auto" w:fill="auto"/>
          </w:tcPr>
          <w:p w:rsidR="00747313" w:rsidRPr="00012344" w:rsidRDefault="00747313" w:rsidP="00F35D62">
            <w:pPr>
              <w:jc w:val="both"/>
              <w:rPr>
                <w:rFonts w:ascii="Arial" w:hAnsi="Arial" w:cs="Arial"/>
                <w:szCs w:val="24"/>
              </w:rPr>
            </w:pPr>
            <w:r>
              <w:rPr>
                <w:rFonts w:ascii="Arial" w:hAnsi="Arial" w:cs="Arial"/>
                <w:szCs w:val="24"/>
              </w:rPr>
              <w:t>e.</w:t>
            </w:r>
          </w:p>
        </w:tc>
        <w:tc>
          <w:tcPr>
            <w:tcW w:w="8786" w:type="dxa"/>
            <w:gridSpan w:val="3"/>
            <w:shd w:val="clear" w:color="auto" w:fill="auto"/>
          </w:tcPr>
          <w:p w:rsidR="00747313" w:rsidRPr="00012344" w:rsidRDefault="00747313" w:rsidP="00F35D62">
            <w:pPr>
              <w:jc w:val="both"/>
              <w:rPr>
                <w:rFonts w:ascii="Arial" w:hAnsi="Arial" w:cs="Arial"/>
                <w:szCs w:val="24"/>
              </w:rPr>
            </w:pPr>
            <w:r>
              <w:rPr>
                <w:rFonts w:ascii="Arial" w:hAnsi="Arial" w:cs="Arial"/>
                <w:szCs w:val="24"/>
              </w:rPr>
              <w:t>Property Inventory (</w:t>
            </w:r>
            <w:proofErr w:type="spellStart"/>
            <w:r>
              <w:rPr>
                <w:rFonts w:ascii="Arial" w:hAnsi="Arial" w:cs="Arial"/>
                <w:szCs w:val="24"/>
              </w:rPr>
              <w:t>CDA</w:t>
            </w:r>
            <w:proofErr w:type="spellEnd"/>
            <w:r>
              <w:rPr>
                <w:rFonts w:ascii="Arial" w:hAnsi="Arial" w:cs="Arial"/>
                <w:szCs w:val="24"/>
              </w:rPr>
              <w:t xml:space="preserve"> 32).</w:t>
            </w:r>
          </w:p>
        </w:tc>
      </w:tr>
      <w:tr w:rsidR="00012344" w:rsidRPr="00012344" w:rsidTr="004A1D17">
        <w:trPr>
          <w:gridAfter w:val="2"/>
          <w:wAfter w:w="90" w:type="dxa"/>
        </w:trPr>
        <w:tc>
          <w:tcPr>
            <w:tcW w:w="630" w:type="dxa"/>
          </w:tcPr>
          <w:p w:rsidR="00012344" w:rsidRPr="00012344" w:rsidRDefault="00012344" w:rsidP="00F35D62">
            <w:pPr>
              <w:jc w:val="both"/>
              <w:rPr>
                <w:rFonts w:ascii="Arial" w:hAnsi="Arial" w:cs="Arial"/>
                <w:bCs/>
                <w:szCs w:val="24"/>
              </w:rPr>
            </w:pPr>
          </w:p>
        </w:tc>
        <w:tc>
          <w:tcPr>
            <w:tcW w:w="9180" w:type="dxa"/>
            <w:gridSpan w:val="3"/>
            <w:shd w:val="clear" w:color="auto" w:fill="auto"/>
          </w:tcPr>
          <w:p w:rsidR="00012344" w:rsidRPr="00012344" w:rsidRDefault="00012344" w:rsidP="00F35D62">
            <w:pPr>
              <w:jc w:val="both"/>
              <w:rPr>
                <w:rFonts w:ascii="Arial" w:hAnsi="Arial" w:cs="Arial"/>
                <w:szCs w:val="24"/>
                <w:u w:val="single"/>
              </w:rPr>
            </w:pPr>
          </w:p>
        </w:tc>
      </w:tr>
      <w:tr w:rsidR="00012344" w:rsidRPr="00012344" w:rsidTr="004A1D17">
        <w:trPr>
          <w:gridAfter w:val="2"/>
          <w:wAfter w:w="90" w:type="dxa"/>
        </w:trPr>
        <w:tc>
          <w:tcPr>
            <w:tcW w:w="630" w:type="dxa"/>
          </w:tcPr>
          <w:p w:rsidR="00012344" w:rsidRPr="00012344" w:rsidRDefault="00012344" w:rsidP="00F35D62">
            <w:pPr>
              <w:jc w:val="both"/>
              <w:rPr>
                <w:rFonts w:ascii="Arial" w:hAnsi="Arial" w:cs="Arial"/>
                <w:bCs/>
                <w:szCs w:val="24"/>
              </w:rPr>
            </w:pPr>
            <w:r w:rsidRPr="00012344">
              <w:rPr>
                <w:rFonts w:ascii="Arial" w:hAnsi="Arial" w:cs="Arial"/>
                <w:bCs/>
                <w:szCs w:val="24"/>
              </w:rPr>
              <w:t>21.</w:t>
            </w:r>
          </w:p>
        </w:tc>
        <w:tc>
          <w:tcPr>
            <w:tcW w:w="9180" w:type="dxa"/>
            <w:gridSpan w:val="3"/>
            <w:shd w:val="clear" w:color="auto" w:fill="auto"/>
          </w:tcPr>
          <w:p w:rsidR="00012344" w:rsidRPr="00012344" w:rsidRDefault="00012344" w:rsidP="003B578F">
            <w:pPr>
              <w:autoSpaceDE w:val="0"/>
              <w:autoSpaceDN w:val="0"/>
              <w:adjustRightInd w:val="0"/>
              <w:jc w:val="both"/>
              <w:rPr>
                <w:rFonts w:ascii="Arial" w:hAnsi="Arial" w:cs="Arial"/>
                <w:bCs/>
                <w:szCs w:val="24"/>
              </w:rPr>
            </w:pPr>
            <w:r w:rsidRPr="00012344">
              <w:rPr>
                <w:rFonts w:ascii="Arial" w:hAnsi="Arial" w:cs="Arial"/>
                <w:szCs w:val="24"/>
              </w:rPr>
              <w:t xml:space="preserve">The Contractor shall meet the following standards for its financial management systems, as stipulated in 2 </w:t>
            </w:r>
            <w:proofErr w:type="spellStart"/>
            <w:r w:rsidRPr="00012344">
              <w:rPr>
                <w:rFonts w:ascii="Arial" w:hAnsi="Arial" w:cs="Arial"/>
                <w:szCs w:val="24"/>
              </w:rPr>
              <w:t>CFR</w:t>
            </w:r>
            <w:proofErr w:type="spellEnd"/>
            <w:r w:rsidRPr="00012344">
              <w:rPr>
                <w:rFonts w:ascii="Arial" w:hAnsi="Arial" w:cs="Arial"/>
                <w:szCs w:val="24"/>
              </w:rPr>
              <w:t xml:space="preserve"> 200.302 and 45 </w:t>
            </w:r>
            <w:proofErr w:type="spellStart"/>
            <w:r w:rsidRPr="00012344">
              <w:rPr>
                <w:rFonts w:ascii="Arial" w:hAnsi="Arial" w:cs="Arial"/>
                <w:szCs w:val="24"/>
              </w:rPr>
              <w:t>CFR</w:t>
            </w:r>
            <w:proofErr w:type="spellEnd"/>
            <w:r w:rsidRPr="00012344">
              <w:rPr>
                <w:rFonts w:ascii="Arial" w:hAnsi="Arial" w:cs="Arial"/>
                <w:szCs w:val="24"/>
              </w:rPr>
              <w:t xml:space="preserve"> 75.302.</w:t>
            </w:r>
          </w:p>
        </w:tc>
      </w:tr>
      <w:tr w:rsidR="00012344" w:rsidRPr="00012344" w:rsidTr="004A1D17">
        <w:trPr>
          <w:gridAfter w:val="2"/>
          <w:wAfter w:w="90" w:type="dxa"/>
        </w:trPr>
        <w:tc>
          <w:tcPr>
            <w:tcW w:w="630" w:type="dxa"/>
          </w:tcPr>
          <w:p w:rsidR="00012344" w:rsidRPr="00012344" w:rsidRDefault="00012344" w:rsidP="00F35D62">
            <w:pPr>
              <w:jc w:val="both"/>
              <w:rPr>
                <w:rFonts w:ascii="Arial" w:hAnsi="Arial" w:cs="Arial"/>
                <w:bCs/>
                <w:szCs w:val="24"/>
              </w:rPr>
            </w:pPr>
          </w:p>
        </w:tc>
        <w:tc>
          <w:tcPr>
            <w:tcW w:w="9180" w:type="dxa"/>
            <w:gridSpan w:val="3"/>
            <w:shd w:val="clear" w:color="auto" w:fill="auto"/>
          </w:tcPr>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Financial Reporting;</w:t>
            </w:r>
          </w:p>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Accounting Records;</w:t>
            </w:r>
          </w:p>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Complete Disclosure;</w:t>
            </w:r>
          </w:p>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Source Documentation;</w:t>
            </w:r>
          </w:p>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Internal Control;</w:t>
            </w:r>
          </w:p>
          <w:p w:rsidR="00012344" w:rsidRPr="00012344" w:rsidRDefault="00012344" w:rsidP="00012344">
            <w:pPr>
              <w:numPr>
                <w:ilvl w:val="0"/>
                <w:numId w:val="2"/>
              </w:numPr>
              <w:jc w:val="both"/>
              <w:rPr>
                <w:rFonts w:ascii="Arial" w:hAnsi="Arial" w:cs="Arial"/>
                <w:szCs w:val="24"/>
              </w:rPr>
            </w:pPr>
            <w:r w:rsidRPr="00012344">
              <w:rPr>
                <w:rFonts w:ascii="Arial" w:hAnsi="Arial" w:cs="Arial"/>
                <w:szCs w:val="24"/>
              </w:rPr>
              <w:t>Budgetary Control;</w:t>
            </w:r>
          </w:p>
          <w:p w:rsidR="00747313" w:rsidRDefault="00012344" w:rsidP="00012344">
            <w:pPr>
              <w:numPr>
                <w:ilvl w:val="0"/>
                <w:numId w:val="2"/>
              </w:numPr>
              <w:jc w:val="both"/>
              <w:rPr>
                <w:rFonts w:ascii="Arial" w:hAnsi="Arial" w:cs="Arial"/>
                <w:szCs w:val="24"/>
              </w:rPr>
            </w:pPr>
            <w:r w:rsidRPr="00012344">
              <w:rPr>
                <w:rFonts w:ascii="Arial" w:hAnsi="Arial" w:cs="Arial"/>
                <w:szCs w:val="24"/>
              </w:rPr>
              <w:t xml:space="preserve">Cash Management (written procedures); </w:t>
            </w:r>
            <w:r w:rsidR="00C22347">
              <w:rPr>
                <w:rFonts w:ascii="Arial" w:hAnsi="Arial" w:cs="Arial"/>
                <w:szCs w:val="24"/>
              </w:rPr>
              <w:t>and</w:t>
            </w:r>
          </w:p>
          <w:p w:rsidR="00012344" w:rsidRPr="00747313" w:rsidRDefault="00012344" w:rsidP="00012344">
            <w:pPr>
              <w:numPr>
                <w:ilvl w:val="0"/>
                <w:numId w:val="2"/>
              </w:numPr>
              <w:jc w:val="both"/>
              <w:rPr>
                <w:rFonts w:ascii="Arial" w:hAnsi="Arial" w:cs="Arial"/>
                <w:szCs w:val="24"/>
              </w:rPr>
            </w:pPr>
            <w:r w:rsidRPr="00747313">
              <w:rPr>
                <w:rFonts w:ascii="Arial" w:hAnsi="Arial" w:cs="Arial"/>
                <w:szCs w:val="24"/>
              </w:rPr>
              <w:t>Allowable Costs (written procedures)</w:t>
            </w:r>
            <w:r w:rsidR="00C22347">
              <w:rPr>
                <w:rFonts w:ascii="Arial" w:hAnsi="Arial" w:cs="Arial"/>
                <w:szCs w:val="24"/>
              </w:rPr>
              <w:t>.</w:t>
            </w:r>
          </w:p>
        </w:tc>
      </w:tr>
      <w:tr w:rsidR="00012344" w:rsidRPr="00012344" w:rsidTr="004A1D17">
        <w:trPr>
          <w:gridAfter w:val="2"/>
          <w:wAfter w:w="90" w:type="dxa"/>
        </w:trPr>
        <w:tc>
          <w:tcPr>
            <w:tcW w:w="630" w:type="dxa"/>
          </w:tcPr>
          <w:p w:rsidR="00012344" w:rsidRPr="00012344" w:rsidRDefault="00012344" w:rsidP="00F35D62">
            <w:pPr>
              <w:jc w:val="both"/>
              <w:rPr>
                <w:rFonts w:ascii="Arial" w:hAnsi="Arial" w:cs="Arial"/>
                <w:bCs/>
                <w:szCs w:val="24"/>
              </w:rPr>
            </w:pPr>
          </w:p>
        </w:tc>
        <w:tc>
          <w:tcPr>
            <w:tcW w:w="9180" w:type="dxa"/>
            <w:gridSpan w:val="3"/>
            <w:shd w:val="clear" w:color="auto" w:fill="auto"/>
          </w:tcPr>
          <w:p w:rsidR="00012344" w:rsidRPr="00012344" w:rsidRDefault="00012344" w:rsidP="00F35D62">
            <w:pPr>
              <w:jc w:val="both"/>
              <w:rPr>
                <w:rFonts w:ascii="Arial" w:hAnsi="Arial" w:cs="Arial"/>
                <w:szCs w:val="24"/>
                <w:u w:val="single"/>
              </w:rPr>
            </w:pPr>
          </w:p>
        </w:tc>
      </w:tr>
      <w:tr w:rsidR="00012344" w:rsidRPr="00012344" w:rsidTr="004A1D17">
        <w:trPr>
          <w:gridAfter w:val="2"/>
          <w:wAfter w:w="90" w:type="dxa"/>
        </w:trPr>
        <w:tc>
          <w:tcPr>
            <w:tcW w:w="630" w:type="dxa"/>
          </w:tcPr>
          <w:p w:rsidR="00012344" w:rsidRPr="00012344" w:rsidRDefault="00012344" w:rsidP="00F35D62">
            <w:pPr>
              <w:jc w:val="both"/>
              <w:rPr>
                <w:rFonts w:ascii="Arial" w:hAnsi="Arial" w:cs="Arial"/>
                <w:bCs/>
                <w:szCs w:val="24"/>
              </w:rPr>
            </w:pPr>
            <w:r w:rsidRPr="00012344">
              <w:rPr>
                <w:rFonts w:ascii="Arial" w:hAnsi="Arial" w:cs="Arial"/>
                <w:bCs/>
                <w:szCs w:val="24"/>
              </w:rPr>
              <w:t>22.</w:t>
            </w:r>
          </w:p>
        </w:tc>
        <w:tc>
          <w:tcPr>
            <w:tcW w:w="9180" w:type="dxa"/>
            <w:gridSpan w:val="3"/>
            <w:shd w:val="clear" w:color="auto" w:fill="auto"/>
          </w:tcPr>
          <w:p w:rsidR="00012344" w:rsidRPr="00012344" w:rsidRDefault="00012344" w:rsidP="00C22347">
            <w:pPr>
              <w:jc w:val="both"/>
              <w:rPr>
                <w:rFonts w:ascii="Arial" w:hAnsi="Arial" w:cs="Arial"/>
                <w:szCs w:val="24"/>
              </w:rPr>
            </w:pPr>
            <w:r w:rsidRPr="00012344">
              <w:rPr>
                <w:rFonts w:ascii="Arial" w:hAnsi="Arial" w:cs="Arial"/>
                <w:b/>
                <w:szCs w:val="24"/>
              </w:rPr>
              <w:t xml:space="preserve">Budget and Budget Revision.  </w:t>
            </w:r>
            <w:r w:rsidRPr="00012344">
              <w:rPr>
                <w:rFonts w:ascii="Arial" w:hAnsi="Arial" w:cs="Arial"/>
                <w:szCs w:val="24"/>
              </w:rPr>
              <w:t>The contractor shall be compensated for expenses only as itemized in the approved budget.  All contractors must use the most current budget form.  The budget shall be submitted on time as announced</w:t>
            </w:r>
            <w:r w:rsidRPr="00BB3506">
              <w:rPr>
                <w:rFonts w:ascii="Arial" w:hAnsi="Arial" w:cs="Arial"/>
                <w:szCs w:val="24"/>
              </w:rPr>
              <w:t xml:space="preserve">.  Budget revisions shall be submitted within five (5) business days.   </w:t>
            </w:r>
            <w:r w:rsidRPr="00012344">
              <w:rPr>
                <w:rFonts w:ascii="Arial" w:hAnsi="Arial" w:cs="Arial"/>
                <w:szCs w:val="24"/>
              </w:rPr>
              <w:t xml:space="preserve">Nutrition Education and Nutrition Counseling amounts must be clearly indicated on the budget form.  A separate line is </w:t>
            </w:r>
            <w:r w:rsidR="004177DD">
              <w:rPr>
                <w:rFonts w:ascii="Arial" w:hAnsi="Arial" w:cs="Arial"/>
                <w:szCs w:val="24"/>
              </w:rPr>
              <w:t>required</w:t>
            </w:r>
            <w:r w:rsidRPr="00012344">
              <w:rPr>
                <w:rFonts w:ascii="Arial" w:hAnsi="Arial" w:cs="Arial"/>
                <w:szCs w:val="24"/>
              </w:rPr>
              <w:t xml:space="preserve"> for these two (2) funds.  A percentage allocation, based on Full-Time Equivalence of paid personnel under the budget shall be provided.</w:t>
            </w:r>
            <w:r w:rsidR="005753BB">
              <w:rPr>
                <w:rFonts w:ascii="Arial" w:hAnsi="Arial" w:cs="Arial"/>
                <w:szCs w:val="24"/>
              </w:rPr>
              <w:t xml:space="preserve"> The contractor’s budget shall include</w:t>
            </w:r>
            <w:r w:rsidR="00C22347">
              <w:rPr>
                <w:rFonts w:ascii="Arial" w:hAnsi="Arial" w:cs="Arial"/>
                <w:szCs w:val="24"/>
              </w:rPr>
              <w:t xml:space="preserve"> as applicable </w:t>
            </w:r>
            <w:r w:rsidR="005753BB">
              <w:rPr>
                <w:rFonts w:ascii="Arial" w:hAnsi="Arial" w:cs="Arial"/>
                <w:szCs w:val="24"/>
              </w:rPr>
              <w:t>the following items:</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Pr="00012344" w:rsidRDefault="005753BB" w:rsidP="00E94A39">
            <w:pPr>
              <w:jc w:val="both"/>
              <w:rPr>
                <w:rFonts w:ascii="Arial" w:hAnsi="Arial" w:cs="Arial"/>
                <w:szCs w:val="24"/>
              </w:rPr>
            </w:pPr>
            <w:r>
              <w:rPr>
                <w:rFonts w:ascii="Arial" w:hAnsi="Arial" w:cs="Arial"/>
                <w:szCs w:val="24"/>
              </w:rPr>
              <w:t>a.</w:t>
            </w:r>
          </w:p>
        </w:tc>
        <w:tc>
          <w:tcPr>
            <w:tcW w:w="8640" w:type="dxa"/>
            <w:shd w:val="clear" w:color="auto" w:fill="auto"/>
          </w:tcPr>
          <w:p w:rsidR="005753BB" w:rsidRPr="00012344" w:rsidRDefault="005753BB" w:rsidP="005753BB">
            <w:pPr>
              <w:jc w:val="both"/>
              <w:rPr>
                <w:rFonts w:ascii="Arial" w:hAnsi="Arial" w:cs="Arial"/>
                <w:szCs w:val="24"/>
              </w:rPr>
            </w:pPr>
            <w:r>
              <w:rPr>
                <w:rFonts w:ascii="Arial" w:hAnsi="Arial" w:cs="Arial"/>
                <w:szCs w:val="24"/>
              </w:rPr>
              <w:t>Personnel Costs – monthly, weekly, or hourly rates, as appropriate and personnel classifications together with the percentage of time to be charged to the contract;</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b.</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Fringe Benefits;</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c.</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Contractual Costs – subcontract and consultant cost detail;</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d.</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Indirect Costs;</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e.</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Rent – specify square footage and rate;</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f.</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Supplies;</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g.</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Equipment – detailed descriptions and unit costs;</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r>
              <w:rPr>
                <w:rFonts w:ascii="Arial" w:hAnsi="Arial" w:cs="Arial"/>
                <w:szCs w:val="24"/>
              </w:rPr>
              <w:t>h.</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In State Travel - mileage reimbursement rate, lodging, per diem and other costs; and</w:t>
            </w:r>
          </w:p>
        </w:tc>
      </w:tr>
      <w:tr w:rsidR="005753BB" w:rsidRPr="00012344" w:rsidTr="005753BB">
        <w:trPr>
          <w:gridAfter w:val="2"/>
          <w:wAfter w:w="90" w:type="dxa"/>
        </w:trPr>
        <w:tc>
          <w:tcPr>
            <w:tcW w:w="630" w:type="dxa"/>
          </w:tcPr>
          <w:p w:rsidR="005753BB" w:rsidRPr="00012344" w:rsidRDefault="005753BB" w:rsidP="00E94A39">
            <w:pPr>
              <w:jc w:val="both"/>
              <w:rPr>
                <w:rFonts w:ascii="Arial" w:hAnsi="Arial" w:cs="Arial"/>
                <w:bCs/>
                <w:szCs w:val="24"/>
              </w:rPr>
            </w:pPr>
          </w:p>
        </w:tc>
        <w:tc>
          <w:tcPr>
            <w:tcW w:w="540" w:type="dxa"/>
            <w:gridSpan w:val="2"/>
            <w:shd w:val="clear" w:color="auto" w:fill="auto"/>
          </w:tcPr>
          <w:p w:rsidR="005753BB" w:rsidRDefault="005753BB" w:rsidP="00E94A39">
            <w:pPr>
              <w:jc w:val="both"/>
              <w:rPr>
                <w:rFonts w:ascii="Arial" w:hAnsi="Arial" w:cs="Arial"/>
                <w:szCs w:val="24"/>
              </w:rPr>
            </w:pPr>
            <w:proofErr w:type="spellStart"/>
            <w:r>
              <w:rPr>
                <w:rFonts w:ascii="Arial" w:hAnsi="Arial" w:cs="Arial"/>
                <w:szCs w:val="24"/>
              </w:rPr>
              <w:t>i</w:t>
            </w:r>
            <w:proofErr w:type="spellEnd"/>
            <w:r>
              <w:rPr>
                <w:rFonts w:ascii="Arial" w:hAnsi="Arial" w:cs="Arial"/>
                <w:szCs w:val="24"/>
              </w:rPr>
              <w:t>.</w:t>
            </w:r>
          </w:p>
        </w:tc>
        <w:tc>
          <w:tcPr>
            <w:tcW w:w="8640" w:type="dxa"/>
            <w:shd w:val="clear" w:color="auto" w:fill="auto"/>
          </w:tcPr>
          <w:p w:rsidR="005753BB" w:rsidRDefault="005753BB" w:rsidP="005753BB">
            <w:pPr>
              <w:jc w:val="both"/>
              <w:rPr>
                <w:rFonts w:ascii="Arial" w:hAnsi="Arial" w:cs="Arial"/>
                <w:szCs w:val="24"/>
              </w:rPr>
            </w:pPr>
            <w:r>
              <w:rPr>
                <w:rFonts w:ascii="Arial" w:hAnsi="Arial" w:cs="Arial"/>
                <w:szCs w:val="24"/>
              </w:rPr>
              <w:t>Other Costs – a detailed list of other operating expenses.</w:t>
            </w:r>
          </w:p>
        </w:tc>
      </w:tr>
      <w:tr w:rsidR="004A1D17" w:rsidRPr="00012344" w:rsidTr="004A1D17">
        <w:trPr>
          <w:gridAfter w:val="2"/>
          <w:wAfter w:w="90" w:type="dxa"/>
        </w:trPr>
        <w:tc>
          <w:tcPr>
            <w:tcW w:w="630" w:type="dxa"/>
          </w:tcPr>
          <w:p w:rsidR="004A1D17" w:rsidRPr="00012344" w:rsidRDefault="004A1D17" w:rsidP="00E94A39">
            <w:pPr>
              <w:jc w:val="both"/>
              <w:rPr>
                <w:rFonts w:ascii="Arial" w:hAnsi="Arial" w:cs="Arial"/>
                <w:bCs/>
                <w:szCs w:val="24"/>
              </w:rPr>
            </w:pPr>
          </w:p>
        </w:tc>
        <w:tc>
          <w:tcPr>
            <w:tcW w:w="9180" w:type="dxa"/>
            <w:gridSpan w:val="3"/>
            <w:shd w:val="clear" w:color="auto" w:fill="auto"/>
          </w:tcPr>
          <w:p w:rsidR="004A1D17" w:rsidRPr="00012344" w:rsidRDefault="004A1D17" w:rsidP="00E94A39">
            <w:pPr>
              <w:jc w:val="both"/>
              <w:rPr>
                <w:rFonts w:ascii="Arial" w:hAnsi="Arial" w:cs="Arial"/>
                <w:szCs w:val="24"/>
              </w:rPr>
            </w:pPr>
          </w:p>
        </w:tc>
      </w:tr>
      <w:tr w:rsidR="004A1D17" w:rsidRPr="00012344" w:rsidTr="004A1D17">
        <w:trPr>
          <w:gridAfter w:val="2"/>
          <w:wAfter w:w="90" w:type="dxa"/>
        </w:trPr>
        <w:tc>
          <w:tcPr>
            <w:tcW w:w="630" w:type="dxa"/>
          </w:tcPr>
          <w:p w:rsidR="004A1D17" w:rsidRPr="00012344" w:rsidRDefault="00C22347" w:rsidP="00E94A39">
            <w:pPr>
              <w:jc w:val="both"/>
              <w:rPr>
                <w:rFonts w:ascii="Arial" w:hAnsi="Arial" w:cs="Arial"/>
                <w:bCs/>
                <w:szCs w:val="24"/>
              </w:rPr>
            </w:pPr>
            <w:r>
              <w:rPr>
                <w:rFonts w:ascii="Arial" w:hAnsi="Arial" w:cs="Arial"/>
                <w:bCs/>
                <w:szCs w:val="24"/>
              </w:rPr>
              <w:t>23.</w:t>
            </w:r>
          </w:p>
        </w:tc>
        <w:tc>
          <w:tcPr>
            <w:tcW w:w="9180" w:type="dxa"/>
            <w:gridSpan w:val="3"/>
            <w:shd w:val="clear" w:color="auto" w:fill="auto"/>
          </w:tcPr>
          <w:p w:rsidR="004A1D17" w:rsidRPr="00012344" w:rsidRDefault="004A1D17" w:rsidP="00E94A39">
            <w:pPr>
              <w:jc w:val="both"/>
              <w:rPr>
                <w:rFonts w:ascii="Arial" w:hAnsi="Arial" w:cs="Arial"/>
                <w:szCs w:val="24"/>
              </w:rPr>
            </w:pPr>
            <w:r w:rsidRPr="00012344">
              <w:rPr>
                <w:rFonts w:ascii="Arial" w:hAnsi="Arial" w:cs="Arial"/>
                <w:szCs w:val="24"/>
              </w:rPr>
              <w:t>The final date to submit a budget revision is April 15</w:t>
            </w:r>
            <w:r w:rsidRPr="00012344">
              <w:rPr>
                <w:rFonts w:ascii="Arial" w:hAnsi="Arial" w:cs="Arial"/>
                <w:color w:val="FF0000"/>
                <w:szCs w:val="24"/>
              </w:rPr>
              <w:t xml:space="preserve"> </w:t>
            </w:r>
            <w:r w:rsidRPr="00012344">
              <w:rPr>
                <w:rFonts w:ascii="Arial" w:hAnsi="Arial" w:cs="Arial"/>
                <w:szCs w:val="24"/>
              </w:rPr>
              <w:t>of the contract period unless otherwise specified by the County;</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9180" w:type="dxa"/>
            <w:gridSpan w:val="3"/>
            <w:shd w:val="clear" w:color="auto" w:fill="auto"/>
          </w:tcPr>
          <w:p w:rsidR="004A1D17" w:rsidRPr="00012344" w:rsidRDefault="004A1D17" w:rsidP="00012344">
            <w:pPr>
              <w:jc w:val="both"/>
              <w:rPr>
                <w:rFonts w:ascii="Arial" w:hAnsi="Arial" w:cs="Arial"/>
                <w:b/>
                <w:szCs w:val="24"/>
              </w:rPr>
            </w:pPr>
          </w:p>
        </w:tc>
      </w:tr>
      <w:tr w:rsidR="004177DD" w:rsidRPr="00012344" w:rsidTr="004A1D17">
        <w:trPr>
          <w:gridAfter w:val="2"/>
          <w:wAfter w:w="90" w:type="dxa"/>
        </w:trPr>
        <w:tc>
          <w:tcPr>
            <w:tcW w:w="630" w:type="dxa"/>
          </w:tcPr>
          <w:p w:rsidR="004177DD" w:rsidRPr="00012344" w:rsidRDefault="00C22347" w:rsidP="00F35D62">
            <w:pPr>
              <w:jc w:val="both"/>
              <w:rPr>
                <w:rFonts w:ascii="Arial" w:hAnsi="Arial" w:cs="Arial"/>
                <w:bCs/>
                <w:szCs w:val="24"/>
              </w:rPr>
            </w:pPr>
            <w:r>
              <w:rPr>
                <w:rFonts w:ascii="Arial" w:hAnsi="Arial" w:cs="Arial"/>
                <w:bCs/>
                <w:szCs w:val="24"/>
              </w:rPr>
              <w:t>24.</w:t>
            </w:r>
          </w:p>
        </w:tc>
        <w:tc>
          <w:tcPr>
            <w:tcW w:w="9180" w:type="dxa"/>
            <w:gridSpan w:val="3"/>
            <w:shd w:val="clear" w:color="auto" w:fill="auto"/>
          </w:tcPr>
          <w:p w:rsidR="004177DD" w:rsidRPr="00012344" w:rsidRDefault="004177DD" w:rsidP="00012344">
            <w:pPr>
              <w:jc w:val="both"/>
              <w:rPr>
                <w:rFonts w:ascii="Arial" w:hAnsi="Arial" w:cs="Arial"/>
                <w:b/>
                <w:szCs w:val="24"/>
              </w:rPr>
            </w:pPr>
            <w:r w:rsidRPr="00012344">
              <w:rPr>
                <w:rFonts w:ascii="Arial" w:hAnsi="Arial" w:cs="Arial"/>
                <w:szCs w:val="24"/>
              </w:rPr>
              <w:t xml:space="preserve">A mid-year review, scheduled for </w:t>
            </w:r>
            <w:r w:rsidRPr="00BB3506">
              <w:rPr>
                <w:rFonts w:ascii="Arial" w:hAnsi="Arial" w:cs="Arial"/>
                <w:szCs w:val="24"/>
              </w:rPr>
              <w:t>January 2017</w:t>
            </w:r>
            <w:r w:rsidRPr="00012344">
              <w:rPr>
                <w:rFonts w:ascii="Arial" w:hAnsi="Arial" w:cs="Arial"/>
                <w:szCs w:val="24"/>
              </w:rPr>
              <w:t>, will require a reconciliation of year-to-date outcomes. Based on these outcomes, a budget revision may be required.</w:t>
            </w:r>
          </w:p>
        </w:tc>
      </w:tr>
      <w:tr w:rsidR="004177DD" w:rsidRPr="00012344" w:rsidTr="004A1D17">
        <w:trPr>
          <w:gridAfter w:val="2"/>
          <w:wAfter w:w="90" w:type="dxa"/>
        </w:trPr>
        <w:tc>
          <w:tcPr>
            <w:tcW w:w="630" w:type="dxa"/>
          </w:tcPr>
          <w:p w:rsidR="004177DD" w:rsidRPr="00012344" w:rsidRDefault="004177DD" w:rsidP="00F35D62">
            <w:pPr>
              <w:jc w:val="both"/>
              <w:rPr>
                <w:rFonts w:ascii="Arial" w:hAnsi="Arial" w:cs="Arial"/>
                <w:bCs/>
                <w:szCs w:val="24"/>
              </w:rPr>
            </w:pPr>
          </w:p>
        </w:tc>
        <w:tc>
          <w:tcPr>
            <w:tcW w:w="9180" w:type="dxa"/>
            <w:gridSpan w:val="3"/>
            <w:shd w:val="clear" w:color="auto" w:fill="auto"/>
          </w:tcPr>
          <w:p w:rsidR="004177DD" w:rsidRPr="00012344" w:rsidRDefault="004177DD" w:rsidP="00012344">
            <w:pPr>
              <w:jc w:val="both"/>
              <w:rPr>
                <w:rFonts w:ascii="Arial" w:hAnsi="Arial" w:cs="Arial"/>
                <w:b/>
                <w:szCs w:val="24"/>
              </w:rPr>
            </w:pPr>
          </w:p>
        </w:tc>
      </w:tr>
      <w:tr w:rsidR="004A1D17" w:rsidRPr="00012344" w:rsidTr="004A1D17">
        <w:trPr>
          <w:gridAfter w:val="2"/>
          <w:wAfter w:w="90" w:type="dxa"/>
        </w:trPr>
        <w:tc>
          <w:tcPr>
            <w:tcW w:w="630" w:type="dxa"/>
          </w:tcPr>
          <w:p w:rsidR="004A1D17" w:rsidRPr="00012344" w:rsidRDefault="00C22347" w:rsidP="00F35D62">
            <w:pPr>
              <w:jc w:val="both"/>
              <w:rPr>
                <w:rFonts w:ascii="Arial" w:hAnsi="Arial" w:cs="Arial"/>
                <w:bCs/>
                <w:szCs w:val="24"/>
              </w:rPr>
            </w:pPr>
            <w:r>
              <w:rPr>
                <w:rFonts w:ascii="Arial" w:hAnsi="Arial" w:cs="Arial"/>
                <w:bCs/>
                <w:szCs w:val="24"/>
              </w:rPr>
              <w:t>25.</w:t>
            </w:r>
          </w:p>
        </w:tc>
        <w:tc>
          <w:tcPr>
            <w:tcW w:w="9180" w:type="dxa"/>
            <w:gridSpan w:val="3"/>
            <w:shd w:val="clear" w:color="auto" w:fill="auto"/>
          </w:tcPr>
          <w:p w:rsidR="004A1D17" w:rsidRPr="00012344" w:rsidRDefault="004A1D17" w:rsidP="00012344">
            <w:pPr>
              <w:jc w:val="both"/>
              <w:rPr>
                <w:rFonts w:ascii="Arial" w:hAnsi="Arial" w:cs="Arial"/>
                <w:szCs w:val="24"/>
              </w:rPr>
            </w:pPr>
            <w:r w:rsidRPr="00012344">
              <w:rPr>
                <w:rFonts w:ascii="Arial" w:hAnsi="Arial" w:cs="Arial"/>
                <w:b/>
                <w:szCs w:val="24"/>
              </w:rPr>
              <w:t xml:space="preserve">Fiscal Site Visit.  </w:t>
            </w:r>
            <w:r w:rsidRPr="00012344">
              <w:rPr>
                <w:rFonts w:ascii="Arial" w:hAnsi="Arial" w:cs="Arial"/>
                <w:szCs w:val="24"/>
              </w:rPr>
              <w:t xml:space="preserve">A site visit will be conducted with each contractor </w:t>
            </w:r>
            <w:r w:rsidR="004177DD">
              <w:rPr>
                <w:rFonts w:ascii="Arial" w:hAnsi="Arial" w:cs="Arial"/>
                <w:szCs w:val="24"/>
              </w:rPr>
              <w:t xml:space="preserve">at least </w:t>
            </w:r>
            <w:r w:rsidRPr="00012344">
              <w:rPr>
                <w:rFonts w:ascii="Arial" w:hAnsi="Arial" w:cs="Arial"/>
                <w:szCs w:val="24"/>
              </w:rPr>
              <w:t xml:space="preserve">every </w:t>
            </w:r>
            <w:r w:rsidRPr="00012344">
              <w:rPr>
                <w:rFonts w:ascii="Arial" w:hAnsi="Arial" w:cs="Arial"/>
                <w:szCs w:val="24"/>
              </w:rPr>
              <w:lastRenderedPageBreak/>
              <w:t xml:space="preserve">other year.  The purpose of the visit is to examine accounting records and internal control procedures and make sure they are in compliance with the Generally Accepted Accounting Principles and Industry Standards.  Upon request, contractors shall supply all the documents needed.  Any follow-up questions or findings resulting from the site visit shall be addressed within five (5) business days. Contractors may receive more frequent fiscal site visits as determined by </w:t>
            </w:r>
            <w:proofErr w:type="spellStart"/>
            <w:r w:rsidRPr="00012344">
              <w:rPr>
                <w:rFonts w:ascii="Arial" w:hAnsi="Arial" w:cs="Arial"/>
                <w:szCs w:val="24"/>
              </w:rPr>
              <w:t>AAS</w:t>
            </w:r>
            <w:proofErr w:type="spellEnd"/>
            <w:r w:rsidRPr="00012344">
              <w:rPr>
                <w:rFonts w:ascii="Arial" w:hAnsi="Arial" w:cs="Arial"/>
                <w:szCs w:val="24"/>
              </w:rPr>
              <w:t>.</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9180" w:type="dxa"/>
            <w:gridSpan w:val="3"/>
            <w:shd w:val="clear" w:color="auto" w:fill="auto"/>
          </w:tcPr>
          <w:p w:rsidR="004A1D17" w:rsidRPr="00012344" w:rsidRDefault="004A1D17" w:rsidP="00F35D62">
            <w:pPr>
              <w:jc w:val="both"/>
              <w:rPr>
                <w:rFonts w:ascii="Arial" w:hAnsi="Arial" w:cs="Arial"/>
                <w:szCs w:val="24"/>
                <w:u w:val="single"/>
              </w:rPr>
            </w:pPr>
          </w:p>
        </w:tc>
      </w:tr>
      <w:tr w:rsidR="004A1D17" w:rsidRPr="00012344" w:rsidTr="004A1D17">
        <w:trPr>
          <w:gridAfter w:val="2"/>
          <w:wAfter w:w="90" w:type="dxa"/>
        </w:trPr>
        <w:tc>
          <w:tcPr>
            <w:tcW w:w="630" w:type="dxa"/>
          </w:tcPr>
          <w:p w:rsidR="004A1D17" w:rsidRPr="00012344" w:rsidRDefault="00C22347" w:rsidP="00F35D62">
            <w:pPr>
              <w:jc w:val="both"/>
              <w:rPr>
                <w:rFonts w:ascii="Arial" w:hAnsi="Arial" w:cs="Arial"/>
                <w:bCs/>
                <w:szCs w:val="24"/>
              </w:rPr>
            </w:pPr>
            <w:r>
              <w:rPr>
                <w:rFonts w:ascii="Arial" w:hAnsi="Arial" w:cs="Arial"/>
                <w:bCs/>
                <w:szCs w:val="24"/>
              </w:rPr>
              <w:t>26</w:t>
            </w:r>
            <w:r w:rsidR="004A1D17" w:rsidRPr="00012344">
              <w:rPr>
                <w:rFonts w:ascii="Arial" w:hAnsi="Arial" w:cs="Arial"/>
                <w:bCs/>
                <w:szCs w:val="24"/>
              </w:rPr>
              <w:t>.</w:t>
            </w:r>
          </w:p>
        </w:tc>
        <w:tc>
          <w:tcPr>
            <w:tcW w:w="9180" w:type="dxa"/>
            <w:gridSpan w:val="3"/>
            <w:shd w:val="clear" w:color="auto" w:fill="auto"/>
          </w:tcPr>
          <w:p w:rsidR="004A1D17" w:rsidRPr="00012344" w:rsidRDefault="004A1D17" w:rsidP="009056B4">
            <w:pPr>
              <w:jc w:val="both"/>
              <w:rPr>
                <w:rFonts w:ascii="Arial" w:hAnsi="Arial" w:cs="Arial"/>
                <w:b/>
                <w:color w:val="FF0000"/>
                <w:szCs w:val="24"/>
              </w:rPr>
            </w:pPr>
            <w:r w:rsidRPr="00012344">
              <w:rPr>
                <w:rFonts w:ascii="Arial" w:hAnsi="Arial" w:cs="Arial"/>
                <w:b/>
                <w:szCs w:val="24"/>
              </w:rPr>
              <w:t xml:space="preserve">Submission of Audited Financial Statements.  </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p>
        </w:tc>
        <w:tc>
          <w:tcPr>
            <w:tcW w:w="8730" w:type="dxa"/>
            <w:gridSpan w:val="2"/>
            <w:shd w:val="clear" w:color="auto" w:fill="auto"/>
          </w:tcPr>
          <w:p w:rsidR="004A1D17" w:rsidRPr="00012344" w:rsidRDefault="004A1D17" w:rsidP="00F35D62">
            <w:pPr>
              <w:jc w:val="both"/>
              <w:rPr>
                <w:rFonts w:ascii="Arial" w:hAnsi="Arial" w:cs="Arial"/>
                <w:szCs w:val="24"/>
              </w:rPr>
            </w:pP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a.</w:t>
            </w:r>
          </w:p>
        </w:tc>
        <w:tc>
          <w:tcPr>
            <w:tcW w:w="8730" w:type="dxa"/>
            <w:gridSpan w:val="2"/>
            <w:shd w:val="clear" w:color="auto" w:fill="auto"/>
          </w:tcPr>
          <w:p w:rsidR="004A1D17" w:rsidRPr="004177DD" w:rsidRDefault="009056B4" w:rsidP="009056B4">
            <w:pPr>
              <w:jc w:val="both"/>
              <w:rPr>
                <w:rFonts w:ascii="Arial" w:hAnsi="Arial" w:cs="Arial"/>
                <w:szCs w:val="24"/>
              </w:rPr>
            </w:pPr>
            <w:r>
              <w:rPr>
                <w:rFonts w:ascii="Arial" w:hAnsi="Arial" w:cs="Arial"/>
                <w:szCs w:val="24"/>
              </w:rPr>
              <w:t>Contractors</w:t>
            </w:r>
            <w:r w:rsidR="004A1D17" w:rsidRPr="004177DD">
              <w:rPr>
                <w:rFonts w:ascii="Arial" w:hAnsi="Arial" w:cs="Arial"/>
                <w:szCs w:val="24"/>
              </w:rPr>
              <w:t xml:space="preserve"> that expend $</w:t>
            </w:r>
            <w:r w:rsidR="004177DD" w:rsidRPr="004177DD">
              <w:rPr>
                <w:rFonts w:ascii="Arial" w:hAnsi="Arial" w:cs="Arial"/>
                <w:szCs w:val="24"/>
              </w:rPr>
              <w:t>750</w:t>
            </w:r>
            <w:r w:rsidR="004A1D17" w:rsidRPr="004177DD">
              <w:rPr>
                <w:rFonts w:ascii="Arial" w:hAnsi="Arial" w:cs="Arial"/>
                <w:szCs w:val="24"/>
              </w:rPr>
              <w:t xml:space="preserve">,000 or more in federal awards shall </w:t>
            </w:r>
            <w:r>
              <w:rPr>
                <w:rFonts w:ascii="Arial" w:hAnsi="Arial" w:cs="Arial"/>
                <w:szCs w:val="24"/>
              </w:rPr>
              <w:t xml:space="preserve">arrange for an audit to be performed as required by the </w:t>
            </w:r>
            <w:r w:rsidR="004A1D17" w:rsidRPr="00C22347">
              <w:rPr>
                <w:rFonts w:ascii="Arial" w:hAnsi="Arial" w:cs="Arial"/>
                <w:szCs w:val="24"/>
              </w:rPr>
              <w:t xml:space="preserve">Single Audit Act of 1984, Public Law 98-502, Single Audit </w:t>
            </w:r>
            <w:r w:rsidRPr="00C22347">
              <w:rPr>
                <w:rFonts w:ascii="Arial" w:hAnsi="Arial" w:cs="Arial"/>
                <w:szCs w:val="24"/>
              </w:rPr>
              <w:t>Act Amendments of 1996, Public L</w:t>
            </w:r>
            <w:r w:rsidR="004A1D17" w:rsidRPr="00C22347">
              <w:rPr>
                <w:rFonts w:ascii="Arial" w:hAnsi="Arial" w:cs="Arial"/>
                <w:szCs w:val="24"/>
              </w:rPr>
              <w:t xml:space="preserve">aw 104-156, and </w:t>
            </w:r>
            <w:r w:rsidR="004177DD" w:rsidRPr="00C22347">
              <w:rPr>
                <w:rFonts w:ascii="Arial" w:hAnsi="Arial" w:cs="Arial"/>
              </w:rPr>
              <w:t xml:space="preserve">2 </w:t>
            </w:r>
            <w:proofErr w:type="spellStart"/>
            <w:r w:rsidR="004177DD" w:rsidRPr="00C22347">
              <w:rPr>
                <w:rFonts w:ascii="Arial" w:hAnsi="Arial" w:cs="Arial"/>
              </w:rPr>
              <w:t>CFR</w:t>
            </w:r>
            <w:proofErr w:type="spellEnd"/>
            <w:r w:rsidR="004177DD" w:rsidRPr="00C22347">
              <w:rPr>
                <w:rFonts w:ascii="Arial" w:hAnsi="Arial" w:cs="Arial"/>
              </w:rPr>
              <w:t xml:space="preserve"> 200.501 to 200.521, and 45 </w:t>
            </w:r>
            <w:proofErr w:type="spellStart"/>
            <w:r w:rsidR="004177DD" w:rsidRPr="00C22347">
              <w:rPr>
                <w:rFonts w:ascii="Arial" w:hAnsi="Arial" w:cs="Arial"/>
              </w:rPr>
              <w:t>CFR75.501</w:t>
            </w:r>
            <w:proofErr w:type="spellEnd"/>
            <w:r w:rsidR="004177DD" w:rsidRPr="00C22347">
              <w:rPr>
                <w:rFonts w:ascii="Arial" w:hAnsi="Arial" w:cs="Arial"/>
              </w:rPr>
              <w:t xml:space="preserve"> to 75.521</w:t>
            </w:r>
            <w:r w:rsidRPr="00C22347">
              <w:rPr>
                <w:rFonts w:ascii="Arial" w:hAnsi="Arial" w:cs="Arial"/>
              </w:rPr>
              <w:t>.</w:t>
            </w:r>
          </w:p>
        </w:tc>
      </w:tr>
      <w:tr w:rsidR="009056B4" w:rsidRPr="00012344" w:rsidTr="004A1D17">
        <w:trPr>
          <w:gridAfter w:val="2"/>
          <w:wAfter w:w="90" w:type="dxa"/>
        </w:trPr>
        <w:tc>
          <w:tcPr>
            <w:tcW w:w="630" w:type="dxa"/>
          </w:tcPr>
          <w:p w:rsidR="009056B4" w:rsidRPr="00012344" w:rsidRDefault="009056B4" w:rsidP="00F35D62">
            <w:pPr>
              <w:jc w:val="both"/>
              <w:rPr>
                <w:rFonts w:ascii="Arial" w:hAnsi="Arial" w:cs="Arial"/>
                <w:bCs/>
                <w:szCs w:val="24"/>
              </w:rPr>
            </w:pPr>
          </w:p>
        </w:tc>
        <w:tc>
          <w:tcPr>
            <w:tcW w:w="450" w:type="dxa"/>
            <w:shd w:val="clear" w:color="auto" w:fill="auto"/>
          </w:tcPr>
          <w:p w:rsidR="009056B4" w:rsidRPr="00012344" w:rsidRDefault="009056B4" w:rsidP="00F35D62">
            <w:pPr>
              <w:jc w:val="both"/>
              <w:rPr>
                <w:rFonts w:ascii="Arial" w:hAnsi="Arial" w:cs="Arial"/>
                <w:szCs w:val="24"/>
              </w:rPr>
            </w:pPr>
            <w:r>
              <w:rPr>
                <w:rFonts w:ascii="Arial" w:hAnsi="Arial" w:cs="Arial"/>
                <w:szCs w:val="24"/>
              </w:rPr>
              <w:t>b.</w:t>
            </w:r>
          </w:p>
        </w:tc>
        <w:tc>
          <w:tcPr>
            <w:tcW w:w="8730" w:type="dxa"/>
            <w:gridSpan w:val="2"/>
            <w:shd w:val="clear" w:color="auto" w:fill="auto"/>
          </w:tcPr>
          <w:p w:rsidR="009056B4" w:rsidRPr="00012344" w:rsidRDefault="009056B4" w:rsidP="00F35D62">
            <w:pPr>
              <w:jc w:val="both"/>
              <w:rPr>
                <w:rFonts w:ascii="Arial" w:hAnsi="Arial" w:cs="Arial"/>
                <w:szCs w:val="24"/>
              </w:rPr>
            </w:pPr>
            <w:r w:rsidRPr="004177DD">
              <w:rPr>
                <w:rFonts w:ascii="Arial" w:hAnsi="Arial" w:cs="Arial"/>
                <w:szCs w:val="24"/>
              </w:rPr>
              <w:t xml:space="preserve">A copy of audited financial statements shall be submitted to </w:t>
            </w:r>
            <w:proofErr w:type="spellStart"/>
            <w:r w:rsidRPr="004177DD">
              <w:rPr>
                <w:rFonts w:ascii="Arial" w:hAnsi="Arial" w:cs="Arial"/>
                <w:szCs w:val="24"/>
              </w:rPr>
              <w:t>AAS</w:t>
            </w:r>
            <w:proofErr w:type="spellEnd"/>
            <w:r w:rsidRPr="004177DD">
              <w:rPr>
                <w:rFonts w:ascii="Arial" w:hAnsi="Arial" w:cs="Arial"/>
                <w:szCs w:val="24"/>
              </w:rPr>
              <w:t xml:space="preserve"> within the earlier of thirty (30) days after receipt of the auditor’s report or nine (9) months after the end of the audit period</w:t>
            </w:r>
            <w:r>
              <w:rPr>
                <w:rFonts w:ascii="Arial" w:hAnsi="Arial" w:cs="Arial"/>
                <w:szCs w:val="24"/>
              </w:rPr>
              <w:t>, whichever occurs first, or un</w:t>
            </w:r>
            <w:r w:rsidR="00C22347">
              <w:rPr>
                <w:rFonts w:ascii="Arial" w:hAnsi="Arial" w:cs="Arial"/>
                <w:szCs w:val="24"/>
              </w:rPr>
              <w:t>less a longer period is agreed to</w:t>
            </w:r>
            <w:r>
              <w:rPr>
                <w:rFonts w:ascii="Arial" w:hAnsi="Arial" w:cs="Arial"/>
                <w:szCs w:val="24"/>
              </w:rPr>
              <w:t xml:space="preserve"> in advance by the cognizant or oversight agency</w:t>
            </w:r>
            <w:r w:rsidRPr="004177DD">
              <w:rPr>
                <w:rFonts w:ascii="Arial" w:hAnsi="Arial" w:cs="Arial"/>
                <w:szCs w:val="24"/>
              </w:rPr>
              <w:t>.</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b.</w:t>
            </w:r>
          </w:p>
        </w:tc>
        <w:tc>
          <w:tcPr>
            <w:tcW w:w="8730" w:type="dxa"/>
            <w:gridSpan w:val="2"/>
            <w:shd w:val="clear" w:color="auto" w:fill="auto"/>
          </w:tcPr>
          <w:p w:rsidR="004A1D17" w:rsidRPr="00012344" w:rsidRDefault="00C22347" w:rsidP="009056B4">
            <w:pPr>
              <w:jc w:val="both"/>
              <w:rPr>
                <w:rFonts w:ascii="Arial" w:hAnsi="Arial" w:cs="Arial"/>
                <w:szCs w:val="24"/>
              </w:rPr>
            </w:pPr>
            <w:r>
              <w:rPr>
                <w:rFonts w:ascii="Arial" w:hAnsi="Arial" w:cs="Arial"/>
                <w:szCs w:val="24"/>
              </w:rPr>
              <w:t>The C</w:t>
            </w:r>
            <w:r w:rsidR="004A1D17" w:rsidRPr="00012344">
              <w:rPr>
                <w:rFonts w:ascii="Arial" w:hAnsi="Arial" w:cs="Arial"/>
                <w:szCs w:val="24"/>
              </w:rPr>
              <w:t>ontractor shall ensure that State-Funded expenditures are displayed discretely along with the related federal expenditures in the single audit report’s “Schedule of Expenditures of Federal Awards” (</w:t>
            </w:r>
            <w:proofErr w:type="spellStart"/>
            <w:r w:rsidR="004A1D17" w:rsidRPr="00012344">
              <w:rPr>
                <w:rFonts w:ascii="Arial" w:hAnsi="Arial" w:cs="Arial"/>
                <w:szCs w:val="24"/>
              </w:rPr>
              <w:t>SEFA</w:t>
            </w:r>
            <w:proofErr w:type="spellEnd"/>
            <w:r w:rsidR="004A1D17" w:rsidRPr="00012344">
              <w:rPr>
                <w:rFonts w:ascii="Arial" w:hAnsi="Arial" w:cs="Arial"/>
                <w:szCs w:val="24"/>
              </w:rPr>
              <w:t>) under the Catalog of Federal Domestic Assistance (</w:t>
            </w:r>
            <w:proofErr w:type="spellStart"/>
            <w:r w:rsidR="004A1D17" w:rsidRPr="00012344">
              <w:rPr>
                <w:rFonts w:ascii="Arial" w:hAnsi="Arial" w:cs="Arial"/>
                <w:szCs w:val="24"/>
              </w:rPr>
              <w:t>CFDA</w:t>
            </w:r>
            <w:proofErr w:type="spellEnd"/>
            <w:r w:rsidR="004A1D17" w:rsidRPr="00012344">
              <w:rPr>
                <w:rFonts w:ascii="Arial" w:hAnsi="Arial" w:cs="Arial"/>
                <w:szCs w:val="24"/>
              </w:rPr>
              <w:t xml:space="preserve">) numbers. </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c.</w:t>
            </w:r>
          </w:p>
        </w:tc>
        <w:tc>
          <w:tcPr>
            <w:tcW w:w="8730" w:type="dxa"/>
            <w:gridSpan w:val="2"/>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 xml:space="preserve">For contracts that do not have </w:t>
            </w:r>
            <w:proofErr w:type="spellStart"/>
            <w:r w:rsidRPr="00012344">
              <w:rPr>
                <w:rFonts w:ascii="Arial" w:hAnsi="Arial" w:cs="Arial"/>
                <w:szCs w:val="24"/>
              </w:rPr>
              <w:t>CFDA</w:t>
            </w:r>
            <w:proofErr w:type="spellEnd"/>
            <w:r w:rsidRPr="00012344">
              <w:rPr>
                <w:rFonts w:ascii="Arial" w:hAnsi="Arial" w:cs="Arial"/>
                <w:szCs w:val="24"/>
              </w:rPr>
              <w:t xml:space="preserve"> numbers, the contractor shall ensure that the State-funded expenditures are discretely identified in the </w:t>
            </w:r>
            <w:proofErr w:type="spellStart"/>
            <w:r w:rsidRPr="00012344">
              <w:rPr>
                <w:rFonts w:ascii="Arial" w:hAnsi="Arial" w:cs="Arial"/>
                <w:szCs w:val="24"/>
              </w:rPr>
              <w:t>SEFA</w:t>
            </w:r>
            <w:proofErr w:type="spellEnd"/>
            <w:r w:rsidRPr="00012344">
              <w:rPr>
                <w:rFonts w:ascii="Arial" w:hAnsi="Arial" w:cs="Arial"/>
                <w:szCs w:val="24"/>
              </w:rPr>
              <w:t xml:space="preserve"> by the appropriate program name, identifying grant/contract number and as passed through County of San Mateo.</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d.</w:t>
            </w:r>
          </w:p>
        </w:tc>
        <w:tc>
          <w:tcPr>
            <w:tcW w:w="8730" w:type="dxa"/>
            <w:gridSpan w:val="2"/>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 xml:space="preserve">If for any reason, </w:t>
            </w:r>
            <w:proofErr w:type="spellStart"/>
            <w:r w:rsidRPr="00012344">
              <w:rPr>
                <w:rFonts w:ascii="Arial" w:hAnsi="Arial" w:cs="Arial"/>
                <w:szCs w:val="24"/>
              </w:rPr>
              <w:t>AAS</w:t>
            </w:r>
            <w:proofErr w:type="spellEnd"/>
            <w:r w:rsidRPr="00012344">
              <w:rPr>
                <w:rFonts w:ascii="Arial" w:hAnsi="Arial" w:cs="Arial"/>
                <w:szCs w:val="24"/>
              </w:rPr>
              <w:t xml:space="preserve"> requests any other documentation, such as working papers and reconciliations from contractor, such requests shall be accommodated in a timely manner.</w:t>
            </w:r>
          </w:p>
        </w:tc>
      </w:tr>
      <w:tr w:rsidR="009056B4" w:rsidRPr="00012344" w:rsidTr="004A1D17">
        <w:trPr>
          <w:gridAfter w:val="2"/>
          <w:wAfter w:w="90" w:type="dxa"/>
        </w:trPr>
        <w:tc>
          <w:tcPr>
            <w:tcW w:w="630" w:type="dxa"/>
          </w:tcPr>
          <w:p w:rsidR="009056B4" w:rsidRPr="00012344" w:rsidRDefault="009056B4" w:rsidP="00F35D62">
            <w:pPr>
              <w:jc w:val="both"/>
              <w:rPr>
                <w:rFonts w:ascii="Arial" w:hAnsi="Arial" w:cs="Arial"/>
                <w:bCs/>
                <w:szCs w:val="24"/>
              </w:rPr>
            </w:pPr>
          </w:p>
        </w:tc>
        <w:tc>
          <w:tcPr>
            <w:tcW w:w="450" w:type="dxa"/>
            <w:shd w:val="clear" w:color="auto" w:fill="auto"/>
          </w:tcPr>
          <w:p w:rsidR="009056B4" w:rsidRPr="00012344" w:rsidRDefault="009056B4" w:rsidP="00F35D62">
            <w:pPr>
              <w:jc w:val="both"/>
              <w:rPr>
                <w:rFonts w:ascii="Arial" w:hAnsi="Arial" w:cs="Arial"/>
                <w:szCs w:val="24"/>
              </w:rPr>
            </w:pPr>
          </w:p>
        </w:tc>
        <w:tc>
          <w:tcPr>
            <w:tcW w:w="8730" w:type="dxa"/>
            <w:gridSpan w:val="2"/>
            <w:shd w:val="clear" w:color="auto" w:fill="auto"/>
          </w:tcPr>
          <w:p w:rsidR="009056B4" w:rsidRPr="00012344" w:rsidRDefault="000F228C" w:rsidP="009056B4">
            <w:pPr>
              <w:jc w:val="both"/>
              <w:rPr>
                <w:rFonts w:ascii="Arial" w:hAnsi="Arial" w:cs="Arial"/>
                <w:szCs w:val="24"/>
              </w:rPr>
            </w:pPr>
            <w:r>
              <w:rPr>
                <w:rFonts w:ascii="Arial" w:hAnsi="Arial" w:cs="Arial"/>
                <w:szCs w:val="24"/>
              </w:rPr>
              <w:t>The C</w:t>
            </w:r>
            <w:r w:rsidR="009056B4">
              <w:rPr>
                <w:rFonts w:ascii="Arial" w:hAnsi="Arial" w:cs="Arial"/>
                <w:szCs w:val="24"/>
              </w:rPr>
              <w:t xml:space="preserve">ontractor shall perform a reconciliation of the “Financial Closeout Report” to the audited financial statements, single audit, and general ledgers. The reconciliation shall be maintained and made available for </w:t>
            </w:r>
            <w:proofErr w:type="spellStart"/>
            <w:r w:rsidR="009056B4">
              <w:rPr>
                <w:rFonts w:ascii="Arial" w:hAnsi="Arial" w:cs="Arial"/>
                <w:szCs w:val="24"/>
              </w:rPr>
              <w:t>AAS</w:t>
            </w:r>
            <w:proofErr w:type="spellEnd"/>
            <w:r w:rsidR="009056B4">
              <w:rPr>
                <w:rFonts w:ascii="Arial" w:hAnsi="Arial" w:cs="Arial"/>
                <w:szCs w:val="24"/>
              </w:rPr>
              <w:t>/</w:t>
            </w:r>
            <w:proofErr w:type="spellStart"/>
            <w:r w:rsidR="009056B4">
              <w:rPr>
                <w:rFonts w:ascii="Arial" w:hAnsi="Arial" w:cs="Arial"/>
                <w:szCs w:val="24"/>
              </w:rPr>
              <w:t>CDA</w:t>
            </w:r>
            <w:proofErr w:type="spellEnd"/>
            <w:r w:rsidR="009056B4">
              <w:rPr>
                <w:rFonts w:ascii="Arial" w:hAnsi="Arial" w:cs="Arial"/>
                <w:szCs w:val="24"/>
              </w:rPr>
              <w:t xml:space="preserve"> review.</w:t>
            </w:r>
          </w:p>
        </w:tc>
      </w:tr>
      <w:tr w:rsidR="004A1D17" w:rsidRPr="00012344" w:rsidTr="004A1D17">
        <w:trPr>
          <w:gridAfter w:val="2"/>
          <w:wAfter w:w="90" w:type="dxa"/>
        </w:trPr>
        <w:tc>
          <w:tcPr>
            <w:tcW w:w="630" w:type="dxa"/>
          </w:tcPr>
          <w:p w:rsidR="004A1D17" w:rsidRPr="00012344" w:rsidRDefault="004A1D17" w:rsidP="00F35D62">
            <w:pPr>
              <w:jc w:val="both"/>
              <w:rPr>
                <w:rFonts w:ascii="Arial" w:hAnsi="Arial" w:cs="Arial"/>
                <w:bCs/>
                <w:szCs w:val="24"/>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e.</w:t>
            </w:r>
          </w:p>
        </w:tc>
        <w:tc>
          <w:tcPr>
            <w:tcW w:w="8730" w:type="dxa"/>
            <w:gridSpan w:val="2"/>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 xml:space="preserve">For any findings revealed in the audit report or single audit report that </w:t>
            </w:r>
            <w:proofErr w:type="spellStart"/>
            <w:r w:rsidRPr="00012344">
              <w:rPr>
                <w:rFonts w:ascii="Arial" w:hAnsi="Arial" w:cs="Arial"/>
                <w:szCs w:val="24"/>
              </w:rPr>
              <w:t>AAS</w:t>
            </w:r>
            <w:proofErr w:type="spellEnd"/>
            <w:r w:rsidRPr="00012344">
              <w:rPr>
                <w:rFonts w:ascii="Arial" w:hAnsi="Arial" w:cs="Arial"/>
                <w:szCs w:val="24"/>
              </w:rPr>
              <w:t xml:space="preserve"> feels it is necessary to be addressed, such request must be taken care of immediately. A corrective action plan shall be provided upon request. </w:t>
            </w:r>
          </w:p>
        </w:tc>
      </w:tr>
      <w:tr w:rsidR="004A1D17" w:rsidRPr="00012344" w:rsidTr="00BB3506">
        <w:trPr>
          <w:gridAfter w:val="2"/>
          <w:wAfter w:w="90" w:type="dxa"/>
        </w:trPr>
        <w:tc>
          <w:tcPr>
            <w:tcW w:w="630" w:type="dxa"/>
            <w:shd w:val="clear" w:color="auto" w:fill="auto"/>
          </w:tcPr>
          <w:p w:rsidR="004A1D17" w:rsidRPr="00E756B1" w:rsidRDefault="004A1D17" w:rsidP="00F35D62">
            <w:pPr>
              <w:jc w:val="both"/>
              <w:rPr>
                <w:rFonts w:ascii="Arial" w:hAnsi="Arial" w:cs="Arial"/>
                <w:bCs/>
                <w:sz w:val="16"/>
                <w:szCs w:val="16"/>
              </w:rPr>
            </w:pPr>
          </w:p>
        </w:tc>
        <w:tc>
          <w:tcPr>
            <w:tcW w:w="450" w:type="dxa"/>
            <w:shd w:val="clear" w:color="auto" w:fill="auto"/>
          </w:tcPr>
          <w:p w:rsidR="004A1D17" w:rsidRPr="00012344" w:rsidRDefault="004A1D17" w:rsidP="00F35D62">
            <w:pPr>
              <w:jc w:val="both"/>
              <w:rPr>
                <w:rFonts w:ascii="Arial" w:hAnsi="Arial" w:cs="Arial"/>
                <w:szCs w:val="24"/>
              </w:rPr>
            </w:pPr>
            <w:r w:rsidRPr="00012344">
              <w:rPr>
                <w:rFonts w:ascii="Arial" w:hAnsi="Arial" w:cs="Arial"/>
                <w:szCs w:val="24"/>
              </w:rPr>
              <w:t>f.</w:t>
            </w:r>
          </w:p>
        </w:tc>
        <w:tc>
          <w:tcPr>
            <w:tcW w:w="8730" w:type="dxa"/>
            <w:gridSpan w:val="2"/>
            <w:shd w:val="clear" w:color="auto" w:fill="auto"/>
          </w:tcPr>
          <w:p w:rsidR="004A1D17" w:rsidRPr="00012344" w:rsidRDefault="004A1D17" w:rsidP="00E756B1">
            <w:pPr>
              <w:jc w:val="both"/>
              <w:rPr>
                <w:rFonts w:ascii="Arial" w:hAnsi="Arial" w:cs="Arial"/>
                <w:szCs w:val="24"/>
              </w:rPr>
            </w:pPr>
            <w:r w:rsidRPr="00012344">
              <w:rPr>
                <w:rFonts w:ascii="Arial" w:hAnsi="Arial" w:cs="Arial"/>
                <w:szCs w:val="24"/>
              </w:rPr>
              <w:t xml:space="preserve">For providers that are not subject to </w:t>
            </w:r>
            <w:r w:rsidR="00E756B1">
              <w:rPr>
                <w:rFonts w:ascii="Arial" w:hAnsi="Arial" w:cs="Arial"/>
                <w:szCs w:val="24"/>
              </w:rPr>
              <w:t xml:space="preserve">single </w:t>
            </w:r>
            <w:r w:rsidRPr="00012344">
              <w:rPr>
                <w:rFonts w:ascii="Arial" w:hAnsi="Arial" w:cs="Arial"/>
                <w:szCs w:val="24"/>
              </w:rPr>
              <w:t xml:space="preserve">audit requirement, an alternative procedure </w:t>
            </w:r>
            <w:r w:rsidR="00E756B1">
              <w:rPr>
                <w:rFonts w:ascii="Arial" w:hAnsi="Arial" w:cs="Arial"/>
                <w:szCs w:val="24"/>
              </w:rPr>
              <w:t xml:space="preserve">may </w:t>
            </w:r>
            <w:r w:rsidRPr="00012344">
              <w:rPr>
                <w:rFonts w:ascii="Arial" w:hAnsi="Arial" w:cs="Arial"/>
                <w:szCs w:val="24"/>
              </w:rPr>
              <w:t xml:space="preserve">be performed by </w:t>
            </w:r>
            <w:proofErr w:type="spellStart"/>
            <w:r w:rsidRPr="00012344">
              <w:rPr>
                <w:rFonts w:ascii="Arial" w:hAnsi="Arial" w:cs="Arial"/>
                <w:szCs w:val="24"/>
              </w:rPr>
              <w:t>AAS</w:t>
            </w:r>
            <w:proofErr w:type="spellEnd"/>
            <w:r w:rsidRPr="00012344">
              <w:rPr>
                <w:rFonts w:ascii="Arial" w:hAnsi="Arial" w:cs="Arial"/>
                <w:szCs w:val="24"/>
              </w:rPr>
              <w:t>. The alternative procedure will require an independent review report or compilation report, if available. Other accounting records, such as invoices, receipts and reconciliation working papers will also be required for submission if necessary.</w:t>
            </w:r>
          </w:p>
        </w:tc>
      </w:tr>
      <w:tr w:rsidR="000F228C" w:rsidRPr="00012344" w:rsidTr="004A1D17">
        <w:trPr>
          <w:gridAfter w:val="2"/>
          <w:wAfter w:w="90" w:type="dxa"/>
        </w:trPr>
        <w:tc>
          <w:tcPr>
            <w:tcW w:w="630" w:type="dxa"/>
          </w:tcPr>
          <w:p w:rsidR="000F228C" w:rsidRPr="00012344" w:rsidRDefault="000F228C" w:rsidP="00F35D62">
            <w:pPr>
              <w:jc w:val="both"/>
              <w:rPr>
                <w:rFonts w:ascii="Arial" w:hAnsi="Arial" w:cs="Arial"/>
                <w:bCs/>
                <w:szCs w:val="24"/>
              </w:rPr>
            </w:pPr>
          </w:p>
        </w:tc>
        <w:tc>
          <w:tcPr>
            <w:tcW w:w="450" w:type="dxa"/>
            <w:shd w:val="clear" w:color="auto" w:fill="auto"/>
          </w:tcPr>
          <w:p w:rsidR="000F228C" w:rsidRPr="00012344" w:rsidRDefault="000F228C" w:rsidP="00F35D62">
            <w:pPr>
              <w:jc w:val="both"/>
              <w:rPr>
                <w:rFonts w:ascii="Arial" w:hAnsi="Arial" w:cs="Arial"/>
                <w:szCs w:val="24"/>
              </w:rPr>
            </w:pPr>
          </w:p>
        </w:tc>
        <w:tc>
          <w:tcPr>
            <w:tcW w:w="8730" w:type="dxa"/>
            <w:gridSpan w:val="2"/>
            <w:shd w:val="clear" w:color="auto" w:fill="auto"/>
          </w:tcPr>
          <w:p w:rsidR="000F228C" w:rsidRPr="00012344" w:rsidRDefault="000F228C" w:rsidP="00F35D62">
            <w:pPr>
              <w:jc w:val="both"/>
              <w:rPr>
                <w:rFonts w:ascii="Arial" w:hAnsi="Arial" w:cs="Arial"/>
                <w:szCs w:val="24"/>
              </w:rPr>
            </w:pPr>
          </w:p>
        </w:tc>
      </w:tr>
      <w:tr w:rsidR="000F228C" w:rsidRPr="00012344" w:rsidTr="00AB2403">
        <w:trPr>
          <w:gridAfter w:val="2"/>
          <w:wAfter w:w="90" w:type="dxa"/>
        </w:trPr>
        <w:tc>
          <w:tcPr>
            <w:tcW w:w="630" w:type="dxa"/>
          </w:tcPr>
          <w:p w:rsidR="000F228C" w:rsidRPr="00012344" w:rsidRDefault="00C22347" w:rsidP="00F35D62">
            <w:pPr>
              <w:jc w:val="both"/>
              <w:rPr>
                <w:rFonts w:ascii="Arial" w:hAnsi="Arial" w:cs="Arial"/>
                <w:bCs/>
                <w:szCs w:val="24"/>
              </w:rPr>
            </w:pPr>
            <w:r>
              <w:rPr>
                <w:rFonts w:ascii="Arial" w:hAnsi="Arial" w:cs="Arial"/>
                <w:bCs/>
                <w:szCs w:val="24"/>
              </w:rPr>
              <w:t>27</w:t>
            </w:r>
            <w:r w:rsidR="000F228C">
              <w:rPr>
                <w:rFonts w:ascii="Arial" w:hAnsi="Arial" w:cs="Arial"/>
                <w:bCs/>
                <w:szCs w:val="24"/>
              </w:rPr>
              <w:t>.</w:t>
            </w:r>
          </w:p>
        </w:tc>
        <w:tc>
          <w:tcPr>
            <w:tcW w:w="9180" w:type="dxa"/>
            <w:gridSpan w:val="3"/>
            <w:shd w:val="clear" w:color="auto" w:fill="auto"/>
          </w:tcPr>
          <w:p w:rsidR="000F228C" w:rsidRPr="00012344" w:rsidRDefault="000F228C" w:rsidP="000F228C">
            <w:pPr>
              <w:jc w:val="both"/>
              <w:rPr>
                <w:rFonts w:ascii="Arial" w:hAnsi="Arial" w:cs="Arial"/>
                <w:szCs w:val="24"/>
              </w:rPr>
            </w:pPr>
            <w:r>
              <w:rPr>
                <w:rFonts w:ascii="Arial" w:hAnsi="Arial" w:cs="Arial"/>
                <w:szCs w:val="24"/>
              </w:rPr>
              <w:t xml:space="preserve">Contractor shall ensure single audit reports meet 2 </w:t>
            </w:r>
            <w:proofErr w:type="spellStart"/>
            <w:r>
              <w:rPr>
                <w:rFonts w:ascii="Arial" w:hAnsi="Arial" w:cs="Arial"/>
                <w:szCs w:val="24"/>
              </w:rPr>
              <w:t>CFR</w:t>
            </w:r>
            <w:proofErr w:type="spellEnd"/>
            <w:r>
              <w:rPr>
                <w:rFonts w:ascii="Arial" w:hAnsi="Arial" w:cs="Arial"/>
                <w:szCs w:val="24"/>
              </w:rPr>
              <w:t xml:space="preserve"> 200, Subpart F – Audit Requirement and 45 </w:t>
            </w:r>
            <w:proofErr w:type="spellStart"/>
            <w:r>
              <w:rPr>
                <w:rFonts w:ascii="Arial" w:hAnsi="Arial" w:cs="Arial"/>
                <w:szCs w:val="24"/>
              </w:rPr>
              <w:t>CRF</w:t>
            </w:r>
            <w:proofErr w:type="spellEnd"/>
            <w:r>
              <w:rPr>
                <w:rFonts w:ascii="Arial" w:hAnsi="Arial" w:cs="Arial"/>
                <w:szCs w:val="24"/>
              </w:rPr>
              <w:t xml:space="preserve"> 75, Subpart F – Audit Requirements:</w:t>
            </w:r>
          </w:p>
        </w:tc>
      </w:tr>
      <w:tr w:rsidR="00E756B1" w:rsidRPr="00012344" w:rsidTr="000F228C">
        <w:trPr>
          <w:gridAfter w:val="2"/>
          <w:wAfter w:w="90" w:type="dxa"/>
        </w:trPr>
        <w:tc>
          <w:tcPr>
            <w:tcW w:w="630" w:type="dxa"/>
          </w:tcPr>
          <w:p w:rsidR="00E756B1" w:rsidRDefault="00E756B1" w:rsidP="000F228C">
            <w:pPr>
              <w:jc w:val="both"/>
              <w:rPr>
                <w:rFonts w:ascii="Arial" w:hAnsi="Arial" w:cs="Arial"/>
                <w:szCs w:val="24"/>
              </w:rPr>
            </w:pPr>
          </w:p>
        </w:tc>
        <w:tc>
          <w:tcPr>
            <w:tcW w:w="540" w:type="dxa"/>
            <w:gridSpan w:val="2"/>
          </w:tcPr>
          <w:p w:rsidR="00E756B1" w:rsidRDefault="00E756B1" w:rsidP="000F228C">
            <w:pPr>
              <w:jc w:val="both"/>
              <w:rPr>
                <w:rFonts w:ascii="Arial" w:hAnsi="Arial" w:cs="Arial"/>
                <w:szCs w:val="24"/>
              </w:rPr>
            </w:pPr>
            <w:r>
              <w:rPr>
                <w:rFonts w:ascii="Arial" w:hAnsi="Arial" w:cs="Arial"/>
                <w:szCs w:val="24"/>
              </w:rPr>
              <w:t>a.</w:t>
            </w:r>
          </w:p>
        </w:tc>
        <w:tc>
          <w:tcPr>
            <w:tcW w:w="8640" w:type="dxa"/>
          </w:tcPr>
          <w:p w:rsidR="00E756B1" w:rsidRPr="00E756B1" w:rsidRDefault="00E756B1" w:rsidP="00E94A39">
            <w:pPr>
              <w:pStyle w:val="Heading2"/>
              <w:jc w:val="both"/>
              <w:rPr>
                <w:rFonts w:ascii="Arial" w:hAnsi="Arial" w:cs="Arial"/>
                <w:b w:val="0"/>
                <w:szCs w:val="24"/>
                <w:u w:val="none"/>
              </w:rPr>
            </w:pPr>
            <w:r w:rsidRPr="00E756B1">
              <w:rPr>
                <w:rFonts w:ascii="Arial" w:hAnsi="Arial" w:cs="Arial"/>
                <w:b w:val="0"/>
                <w:szCs w:val="24"/>
                <w:u w:val="none"/>
              </w:rPr>
              <w:t xml:space="preserve">Performed timely - not less frequently than annually and a report submitted timely.  The audit is required to be submitted to the County within 30 days after Contractor’s receipt of the auditor’s report or nine months after the end of the audit period, whichever occurs first; [2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200.512] [45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75.512]</w:t>
            </w:r>
          </w:p>
        </w:tc>
      </w:tr>
      <w:tr w:rsidR="00E756B1" w:rsidRPr="00012344" w:rsidTr="000F228C">
        <w:trPr>
          <w:gridAfter w:val="2"/>
          <w:wAfter w:w="90" w:type="dxa"/>
        </w:trPr>
        <w:tc>
          <w:tcPr>
            <w:tcW w:w="630" w:type="dxa"/>
          </w:tcPr>
          <w:p w:rsidR="00E756B1" w:rsidRDefault="00E756B1" w:rsidP="000F228C">
            <w:pPr>
              <w:jc w:val="both"/>
              <w:rPr>
                <w:rFonts w:ascii="Arial" w:hAnsi="Arial" w:cs="Arial"/>
                <w:szCs w:val="24"/>
              </w:rPr>
            </w:pPr>
          </w:p>
        </w:tc>
        <w:tc>
          <w:tcPr>
            <w:tcW w:w="540" w:type="dxa"/>
            <w:gridSpan w:val="2"/>
          </w:tcPr>
          <w:p w:rsidR="00E756B1" w:rsidRDefault="00E756B1" w:rsidP="000F228C">
            <w:pPr>
              <w:jc w:val="both"/>
              <w:rPr>
                <w:rFonts w:ascii="Arial" w:hAnsi="Arial" w:cs="Arial"/>
                <w:szCs w:val="24"/>
              </w:rPr>
            </w:pPr>
            <w:r>
              <w:rPr>
                <w:rFonts w:ascii="Arial" w:hAnsi="Arial" w:cs="Arial"/>
                <w:szCs w:val="24"/>
              </w:rPr>
              <w:t>b.</w:t>
            </w:r>
          </w:p>
        </w:tc>
        <w:tc>
          <w:tcPr>
            <w:tcW w:w="8640" w:type="dxa"/>
          </w:tcPr>
          <w:p w:rsidR="00E756B1" w:rsidRPr="00E756B1" w:rsidRDefault="00E756B1" w:rsidP="00E94A39">
            <w:pPr>
              <w:pStyle w:val="Heading2"/>
              <w:jc w:val="both"/>
              <w:rPr>
                <w:rFonts w:ascii="Arial" w:hAnsi="Arial" w:cs="Arial"/>
                <w:b w:val="0"/>
                <w:szCs w:val="24"/>
                <w:u w:val="none"/>
              </w:rPr>
            </w:pPr>
            <w:r w:rsidRPr="00E756B1">
              <w:rPr>
                <w:rFonts w:ascii="Arial" w:hAnsi="Arial" w:cs="Arial"/>
                <w:b w:val="0"/>
                <w:szCs w:val="24"/>
                <w:u w:val="none"/>
              </w:rPr>
              <w:t xml:space="preserve">Property procured – use procurement standards for auditor selection; [2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200.509] [45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75.509]</w:t>
            </w:r>
          </w:p>
        </w:tc>
      </w:tr>
      <w:tr w:rsidR="00E756B1" w:rsidRPr="00012344" w:rsidTr="000F228C">
        <w:trPr>
          <w:gridAfter w:val="2"/>
          <w:wAfter w:w="90" w:type="dxa"/>
        </w:trPr>
        <w:tc>
          <w:tcPr>
            <w:tcW w:w="630" w:type="dxa"/>
          </w:tcPr>
          <w:p w:rsidR="00E756B1" w:rsidRDefault="00E756B1" w:rsidP="000F228C">
            <w:pPr>
              <w:jc w:val="both"/>
              <w:rPr>
                <w:rFonts w:ascii="Arial" w:hAnsi="Arial" w:cs="Arial"/>
                <w:szCs w:val="24"/>
              </w:rPr>
            </w:pPr>
          </w:p>
        </w:tc>
        <w:tc>
          <w:tcPr>
            <w:tcW w:w="540" w:type="dxa"/>
            <w:gridSpan w:val="2"/>
          </w:tcPr>
          <w:p w:rsidR="00E756B1" w:rsidRDefault="00E756B1" w:rsidP="000F228C">
            <w:pPr>
              <w:jc w:val="both"/>
              <w:rPr>
                <w:rFonts w:ascii="Arial" w:hAnsi="Arial" w:cs="Arial"/>
                <w:szCs w:val="24"/>
              </w:rPr>
            </w:pPr>
            <w:r>
              <w:rPr>
                <w:rFonts w:ascii="Arial" w:hAnsi="Arial" w:cs="Arial"/>
                <w:szCs w:val="24"/>
              </w:rPr>
              <w:t>c.</w:t>
            </w:r>
          </w:p>
        </w:tc>
        <w:tc>
          <w:tcPr>
            <w:tcW w:w="8640" w:type="dxa"/>
          </w:tcPr>
          <w:p w:rsidR="00E756B1" w:rsidRPr="00E756B1" w:rsidRDefault="00E756B1" w:rsidP="00E94A39">
            <w:pPr>
              <w:pStyle w:val="Heading2"/>
              <w:jc w:val="both"/>
              <w:rPr>
                <w:rFonts w:ascii="Arial" w:hAnsi="Arial" w:cs="Arial"/>
                <w:b w:val="0"/>
                <w:szCs w:val="24"/>
                <w:u w:val="none"/>
              </w:rPr>
            </w:pPr>
            <w:r w:rsidRPr="00E756B1">
              <w:rPr>
                <w:rFonts w:ascii="Arial" w:hAnsi="Arial" w:cs="Arial"/>
                <w:b w:val="0"/>
                <w:szCs w:val="24"/>
                <w:u w:val="none"/>
              </w:rPr>
              <w:t xml:space="preserve">Performed in accordance with General Accepted Government Auditing </w:t>
            </w:r>
            <w:r w:rsidRPr="00E756B1">
              <w:rPr>
                <w:rFonts w:ascii="Arial" w:hAnsi="Arial" w:cs="Arial"/>
                <w:b w:val="0"/>
                <w:szCs w:val="24"/>
                <w:u w:val="none"/>
              </w:rPr>
              <w:lastRenderedPageBreak/>
              <w:t>Standards;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200.514] [45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75.514]</w:t>
            </w:r>
          </w:p>
        </w:tc>
      </w:tr>
      <w:tr w:rsidR="00E756B1" w:rsidRPr="00012344" w:rsidTr="000F228C">
        <w:trPr>
          <w:gridAfter w:val="2"/>
          <w:wAfter w:w="90" w:type="dxa"/>
        </w:trPr>
        <w:tc>
          <w:tcPr>
            <w:tcW w:w="630" w:type="dxa"/>
          </w:tcPr>
          <w:p w:rsidR="00E756B1" w:rsidRDefault="00E756B1" w:rsidP="000F228C">
            <w:pPr>
              <w:jc w:val="both"/>
              <w:rPr>
                <w:rFonts w:ascii="Arial" w:hAnsi="Arial" w:cs="Arial"/>
                <w:szCs w:val="24"/>
              </w:rPr>
            </w:pPr>
          </w:p>
        </w:tc>
        <w:tc>
          <w:tcPr>
            <w:tcW w:w="540" w:type="dxa"/>
            <w:gridSpan w:val="2"/>
          </w:tcPr>
          <w:p w:rsidR="00E756B1" w:rsidRDefault="00E756B1" w:rsidP="000F228C">
            <w:pPr>
              <w:jc w:val="both"/>
              <w:rPr>
                <w:rFonts w:ascii="Arial" w:hAnsi="Arial" w:cs="Arial"/>
                <w:szCs w:val="24"/>
              </w:rPr>
            </w:pPr>
            <w:r>
              <w:rPr>
                <w:rFonts w:ascii="Arial" w:hAnsi="Arial" w:cs="Arial"/>
                <w:szCs w:val="24"/>
              </w:rPr>
              <w:t>d.</w:t>
            </w:r>
          </w:p>
        </w:tc>
        <w:tc>
          <w:tcPr>
            <w:tcW w:w="8640" w:type="dxa"/>
          </w:tcPr>
          <w:p w:rsidR="00E756B1" w:rsidRPr="00E756B1" w:rsidRDefault="00E756B1" w:rsidP="00E94A39">
            <w:pPr>
              <w:pStyle w:val="Heading2"/>
              <w:jc w:val="both"/>
              <w:rPr>
                <w:rFonts w:ascii="Arial" w:hAnsi="Arial" w:cs="Arial"/>
                <w:b w:val="0"/>
                <w:szCs w:val="24"/>
                <w:u w:val="none"/>
              </w:rPr>
            </w:pPr>
            <w:r w:rsidRPr="00E756B1">
              <w:rPr>
                <w:rFonts w:ascii="Arial" w:hAnsi="Arial" w:cs="Arial"/>
                <w:b w:val="0"/>
                <w:szCs w:val="24"/>
                <w:u w:val="none"/>
              </w:rPr>
              <w:t xml:space="preserve">All inclusive – includes an opinion (or disclaimer of opinion) of the financial statements; a report on internal control related to the financial statements and major programs; an opinion (or disclaimer of opinion) on compliance with laws, regulations, and the provisions of contracts; and the schedule of findings and questioned costs; [2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200.515] [45 </w:t>
            </w:r>
            <w:proofErr w:type="spellStart"/>
            <w:r w:rsidRPr="00E756B1">
              <w:rPr>
                <w:rFonts w:ascii="Arial" w:hAnsi="Arial" w:cs="Arial"/>
                <w:b w:val="0"/>
                <w:szCs w:val="24"/>
                <w:u w:val="none"/>
              </w:rPr>
              <w:t>CFR</w:t>
            </w:r>
            <w:proofErr w:type="spellEnd"/>
            <w:r w:rsidRPr="00E756B1">
              <w:rPr>
                <w:rFonts w:ascii="Arial" w:hAnsi="Arial" w:cs="Arial"/>
                <w:b w:val="0"/>
                <w:szCs w:val="24"/>
                <w:u w:val="none"/>
              </w:rPr>
              <w:t xml:space="preserve"> 75.515] and</w:t>
            </w:r>
          </w:p>
        </w:tc>
      </w:tr>
      <w:tr w:rsidR="004A662C" w:rsidRPr="00012344" w:rsidTr="000F228C">
        <w:trPr>
          <w:gridAfter w:val="2"/>
          <w:wAfter w:w="90" w:type="dxa"/>
        </w:trPr>
        <w:tc>
          <w:tcPr>
            <w:tcW w:w="630" w:type="dxa"/>
          </w:tcPr>
          <w:p w:rsidR="004A662C" w:rsidRDefault="004A662C" w:rsidP="000F228C">
            <w:pPr>
              <w:jc w:val="both"/>
              <w:rPr>
                <w:rFonts w:ascii="Arial" w:hAnsi="Arial" w:cs="Arial"/>
                <w:szCs w:val="24"/>
              </w:rPr>
            </w:pPr>
          </w:p>
        </w:tc>
        <w:tc>
          <w:tcPr>
            <w:tcW w:w="540" w:type="dxa"/>
            <w:gridSpan w:val="2"/>
          </w:tcPr>
          <w:p w:rsidR="004A662C" w:rsidRDefault="004A662C" w:rsidP="000F228C">
            <w:pPr>
              <w:jc w:val="both"/>
              <w:rPr>
                <w:rFonts w:ascii="Arial" w:hAnsi="Arial" w:cs="Arial"/>
                <w:szCs w:val="24"/>
              </w:rPr>
            </w:pPr>
          </w:p>
        </w:tc>
        <w:tc>
          <w:tcPr>
            <w:tcW w:w="8640" w:type="dxa"/>
          </w:tcPr>
          <w:p w:rsidR="004A662C" w:rsidRPr="00E756B1" w:rsidRDefault="004A662C" w:rsidP="00E756B1">
            <w:pPr>
              <w:pStyle w:val="Heading2"/>
              <w:jc w:val="both"/>
              <w:rPr>
                <w:rFonts w:ascii="Arial" w:hAnsi="Arial" w:cs="Arial"/>
                <w:b w:val="0"/>
                <w:szCs w:val="24"/>
                <w:u w:val="none"/>
              </w:rPr>
            </w:pPr>
          </w:p>
        </w:tc>
      </w:tr>
      <w:tr w:rsidR="004A662C" w:rsidRPr="00012344" w:rsidTr="00F60428">
        <w:trPr>
          <w:gridAfter w:val="2"/>
          <w:wAfter w:w="90" w:type="dxa"/>
        </w:trPr>
        <w:tc>
          <w:tcPr>
            <w:tcW w:w="630" w:type="dxa"/>
          </w:tcPr>
          <w:p w:rsidR="004A662C" w:rsidRDefault="004A662C" w:rsidP="000F228C">
            <w:pPr>
              <w:jc w:val="both"/>
              <w:rPr>
                <w:rFonts w:ascii="Arial" w:hAnsi="Arial" w:cs="Arial"/>
                <w:szCs w:val="24"/>
              </w:rPr>
            </w:pPr>
            <w:r>
              <w:rPr>
                <w:rFonts w:ascii="Arial" w:hAnsi="Arial" w:cs="Arial"/>
                <w:szCs w:val="24"/>
              </w:rPr>
              <w:t>28.</w:t>
            </w:r>
          </w:p>
        </w:tc>
        <w:tc>
          <w:tcPr>
            <w:tcW w:w="9180" w:type="dxa"/>
            <w:gridSpan w:val="3"/>
          </w:tcPr>
          <w:p w:rsidR="004A662C" w:rsidRPr="004A662C" w:rsidRDefault="004A662C" w:rsidP="004A662C">
            <w:pPr>
              <w:pStyle w:val="Heading2"/>
              <w:jc w:val="both"/>
              <w:rPr>
                <w:rFonts w:ascii="Arial" w:hAnsi="Arial" w:cs="Arial"/>
                <w:b w:val="0"/>
                <w:szCs w:val="24"/>
                <w:u w:val="none"/>
              </w:rPr>
            </w:pPr>
            <w:r w:rsidRPr="004A662C">
              <w:rPr>
                <w:rFonts w:ascii="Arial" w:hAnsi="Arial" w:cs="Arial"/>
                <w:b w:val="0"/>
                <w:color w:val="000000"/>
                <w:szCs w:val="24"/>
                <w:u w:val="none"/>
              </w:rPr>
              <w:t>One-Time-Only Funds</w:t>
            </w:r>
            <w:r w:rsidRPr="004A662C">
              <w:rPr>
                <w:rFonts w:ascii="Arial" w:hAnsi="Arial" w:cs="Arial"/>
                <w:color w:val="000000"/>
                <w:szCs w:val="24"/>
                <w:u w:val="none"/>
              </w:rPr>
              <w:t xml:space="preserve"> </w:t>
            </w:r>
          </w:p>
        </w:tc>
      </w:tr>
      <w:tr w:rsidR="004A662C" w:rsidRPr="00012344" w:rsidTr="000F228C">
        <w:trPr>
          <w:gridAfter w:val="2"/>
          <w:wAfter w:w="90" w:type="dxa"/>
        </w:trPr>
        <w:tc>
          <w:tcPr>
            <w:tcW w:w="630" w:type="dxa"/>
          </w:tcPr>
          <w:p w:rsidR="004A662C" w:rsidRDefault="004A662C" w:rsidP="000F228C">
            <w:pPr>
              <w:jc w:val="both"/>
              <w:rPr>
                <w:rFonts w:ascii="Arial" w:hAnsi="Arial" w:cs="Arial"/>
                <w:szCs w:val="24"/>
              </w:rPr>
            </w:pPr>
          </w:p>
        </w:tc>
        <w:tc>
          <w:tcPr>
            <w:tcW w:w="540" w:type="dxa"/>
            <w:gridSpan w:val="2"/>
          </w:tcPr>
          <w:p w:rsidR="004A662C" w:rsidRDefault="004A662C" w:rsidP="000F228C">
            <w:pPr>
              <w:jc w:val="both"/>
              <w:rPr>
                <w:rFonts w:ascii="Arial" w:hAnsi="Arial" w:cs="Arial"/>
                <w:szCs w:val="24"/>
              </w:rPr>
            </w:pPr>
          </w:p>
        </w:tc>
        <w:tc>
          <w:tcPr>
            <w:tcW w:w="8640" w:type="dxa"/>
          </w:tcPr>
          <w:p w:rsidR="004A662C" w:rsidRPr="00E756B1" w:rsidRDefault="004A662C" w:rsidP="00E756B1">
            <w:pPr>
              <w:pStyle w:val="Heading2"/>
              <w:jc w:val="both"/>
              <w:rPr>
                <w:rFonts w:ascii="Arial" w:hAnsi="Arial" w:cs="Arial"/>
                <w:b w:val="0"/>
                <w:szCs w:val="24"/>
                <w:u w:val="none"/>
              </w:rPr>
            </w:pPr>
          </w:p>
        </w:tc>
      </w:tr>
      <w:tr w:rsidR="004A662C" w:rsidRPr="00012344" w:rsidTr="000F228C">
        <w:trPr>
          <w:gridAfter w:val="2"/>
          <w:wAfter w:w="90" w:type="dxa"/>
        </w:trPr>
        <w:tc>
          <w:tcPr>
            <w:tcW w:w="630" w:type="dxa"/>
          </w:tcPr>
          <w:p w:rsidR="004A662C" w:rsidRDefault="004A662C" w:rsidP="000F228C">
            <w:pPr>
              <w:jc w:val="both"/>
              <w:rPr>
                <w:rFonts w:ascii="Arial" w:hAnsi="Arial" w:cs="Arial"/>
                <w:szCs w:val="24"/>
              </w:rPr>
            </w:pPr>
          </w:p>
        </w:tc>
        <w:tc>
          <w:tcPr>
            <w:tcW w:w="540" w:type="dxa"/>
            <w:gridSpan w:val="2"/>
          </w:tcPr>
          <w:p w:rsidR="004A662C" w:rsidRDefault="004A662C" w:rsidP="000F228C">
            <w:pPr>
              <w:jc w:val="both"/>
              <w:rPr>
                <w:rFonts w:ascii="Arial" w:hAnsi="Arial" w:cs="Arial"/>
                <w:szCs w:val="24"/>
              </w:rPr>
            </w:pPr>
            <w:r>
              <w:rPr>
                <w:rFonts w:ascii="Arial" w:hAnsi="Arial" w:cs="Arial"/>
                <w:szCs w:val="24"/>
              </w:rPr>
              <w:t>a.</w:t>
            </w:r>
          </w:p>
        </w:tc>
        <w:tc>
          <w:tcPr>
            <w:tcW w:w="8640" w:type="dxa"/>
          </w:tcPr>
          <w:p w:rsidR="004A662C" w:rsidRPr="004A662C" w:rsidRDefault="004A662C" w:rsidP="004A662C">
            <w:pPr>
              <w:suppressAutoHyphens/>
              <w:jc w:val="both"/>
              <w:rPr>
                <w:rFonts w:ascii="Arial" w:hAnsi="Arial" w:cs="Arial"/>
                <w:szCs w:val="24"/>
              </w:rPr>
            </w:pPr>
            <w:r w:rsidRPr="000B0D20">
              <w:rPr>
                <w:rFonts w:ascii="Arial" w:hAnsi="Arial" w:cs="Arial"/>
                <w:szCs w:val="24"/>
              </w:rPr>
              <w:t xml:space="preserve">Titles III and VII federal funds allocated to the AAA in a </w:t>
            </w:r>
            <w:r>
              <w:rPr>
                <w:rFonts w:ascii="Arial" w:hAnsi="Arial" w:cs="Arial"/>
                <w:szCs w:val="24"/>
              </w:rPr>
              <w:t>S</w:t>
            </w:r>
            <w:r w:rsidRPr="000B0D20">
              <w:rPr>
                <w:rFonts w:ascii="Arial" w:hAnsi="Arial" w:cs="Arial"/>
                <w:szCs w:val="24"/>
              </w:rPr>
              <w:t>tate fiscal year that are not expended or encumbered for services and administration provided by June 30 of that fiscal year as reported to</w:t>
            </w:r>
            <w:r>
              <w:rPr>
                <w:rFonts w:ascii="Arial" w:hAnsi="Arial" w:cs="Arial"/>
                <w:szCs w:val="24"/>
              </w:rPr>
              <w:t xml:space="preserve"> the California Department of Aging</w:t>
            </w:r>
            <w:r w:rsidRPr="000B0D20">
              <w:rPr>
                <w:rFonts w:ascii="Arial" w:hAnsi="Arial" w:cs="Arial"/>
                <w:szCs w:val="24"/>
              </w:rPr>
              <w:t xml:space="preserve"> </w:t>
            </w:r>
            <w:r>
              <w:rPr>
                <w:rFonts w:ascii="Arial" w:hAnsi="Arial" w:cs="Arial"/>
                <w:szCs w:val="24"/>
              </w:rPr>
              <w:t>(</w:t>
            </w:r>
            <w:proofErr w:type="spellStart"/>
            <w:r w:rsidRPr="000B0D20">
              <w:rPr>
                <w:rFonts w:ascii="Arial" w:hAnsi="Arial" w:cs="Arial"/>
                <w:szCs w:val="24"/>
              </w:rPr>
              <w:t>CDA</w:t>
            </w:r>
            <w:proofErr w:type="spellEnd"/>
            <w:r>
              <w:rPr>
                <w:rFonts w:ascii="Arial" w:hAnsi="Arial" w:cs="Arial"/>
                <w:szCs w:val="24"/>
              </w:rPr>
              <w:t>)</w:t>
            </w:r>
            <w:r w:rsidRPr="000B0D20">
              <w:rPr>
                <w:rFonts w:ascii="Arial" w:hAnsi="Arial" w:cs="Arial"/>
                <w:szCs w:val="24"/>
              </w:rPr>
              <w:t xml:space="preserve"> in the Area Plan Financial Closeout Report</w:t>
            </w:r>
            <w:r>
              <w:rPr>
                <w:rFonts w:ascii="Arial" w:hAnsi="Arial" w:cs="Arial"/>
                <w:szCs w:val="24"/>
              </w:rPr>
              <w:t>.</w:t>
            </w:r>
            <w:r w:rsidRPr="000B0D20">
              <w:rPr>
                <w:rFonts w:ascii="Arial" w:hAnsi="Arial" w:cs="Arial"/>
                <w:szCs w:val="24"/>
              </w:rPr>
              <w:t xml:space="preserve">  [22</w:t>
            </w:r>
            <w:r>
              <w:rPr>
                <w:rFonts w:ascii="Arial" w:hAnsi="Arial" w:cs="Arial"/>
                <w:szCs w:val="24"/>
              </w:rPr>
              <w:t> </w:t>
            </w:r>
            <w:proofErr w:type="spellStart"/>
            <w:r w:rsidRPr="000B0D20">
              <w:rPr>
                <w:rFonts w:ascii="Arial" w:hAnsi="Arial" w:cs="Arial"/>
                <w:szCs w:val="24"/>
              </w:rPr>
              <w:t>CCR</w:t>
            </w:r>
            <w:proofErr w:type="spellEnd"/>
            <w:r>
              <w:rPr>
                <w:rFonts w:ascii="Arial" w:hAnsi="Arial" w:cs="Arial"/>
                <w:szCs w:val="24"/>
              </w:rPr>
              <w:t> </w:t>
            </w:r>
            <w:r w:rsidRPr="000B0D20">
              <w:rPr>
                <w:rFonts w:ascii="Arial" w:hAnsi="Arial" w:cs="Arial"/>
                <w:szCs w:val="24"/>
              </w:rPr>
              <w:t>7314(a)(6)]</w:t>
            </w:r>
          </w:p>
        </w:tc>
      </w:tr>
      <w:tr w:rsidR="004A662C" w:rsidRPr="00012344" w:rsidTr="000F228C">
        <w:trPr>
          <w:gridAfter w:val="2"/>
          <w:wAfter w:w="90" w:type="dxa"/>
        </w:trPr>
        <w:tc>
          <w:tcPr>
            <w:tcW w:w="630" w:type="dxa"/>
          </w:tcPr>
          <w:p w:rsidR="004A662C" w:rsidRDefault="004A662C" w:rsidP="000F228C">
            <w:pPr>
              <w:jc w:val="both"/>
              <w:rPr>
                <w:rFonts w:ascii="Arial" w:hAnsi="Arial" w:cs="Arial"/>
                <w:szCs w:val="24"/>
              </w:rPr>
            </w:pPr>
          </w:p>
        </w:tc>
        <w:tc>
          <w:tcPr>
            <w:tcW w:w="540" w:type="dxa"/>
            <w:gridSpan w:val="2"/>
          </w:tcPr>
          <w:p w:rsidR="004A662C" w:rsidRDefault="004A662C" w:rsidP="000F228C">
            <w:pPr>
              <w:jc w:val="both"/>
              <w:rPr>
                <w:rFonts w:ascii="Arial" w:hAnsi="Arial" w:cs="Arial"/>
                <w:szCs w:val="24"/>
              </w:rPr>
            </w:pPr>
            <w:r>
              <w:rPr>
                <w:rFonts w:ascii="Arial" w:hAnsi="Arial" w:cs="Arial"/>
                <w:szCs w:val="24"/>
              </w:rPr>
              <w:t>b.</w:t>
            </w:r>
          </w:p>
        </w:tc>
        <w:tc>
          <w:tcPr>
            <w:tcW w:w="8640" w:type="dxa"/>
          </w:tcPr>
          <w:p w:rsidR="004A662C" w:rsidRPr="004A662C" w:rsidRDefault="004A662C" w:rsidP="004A662C">
            <w:pPr>
              <w:suppressAutoHyphens/>
              <w:jc w:val="both"/>
              <w:rPr>
                <w:rFonts w:ascii="Arial" w:hAnsi="Arial" w:cs="Arial"/>
                <w:szCs w:val="24"/>
              </w:rPr>
            </w:pPr>
            <w:r w:rsidRPr="00DA7503">
              <w:rPr>
                <w:rFonts w:ascii="Arial" w:hAnsi="Arial" w:cs="Arial"/>
                <w:szCs w:val="24"/>
              </w:rPr>
              <w:t>Title III and VII federal funds recovered from an AAA as a result of</w:t>
            </w:r>
            <w:r w:rsidRPr="00DA7503" w:rsidDel="00305CF5">
              <w:rPr>
                <w:rFonts w:ascii="Arial" w:hAnsi="Arial" w:cs="Arial"/>
                <w:szCs w:val="24"/>
              </w:rPr>
              <w:t xml:space="preserve"> </w:t>
            </w:r>
            <w:r w:rsidRPr="00DA7503">
              <w:rPr>
                <w:rFonts w:ascii="Arial" w:hAnsi="Arial" w:cs="Arial"/>
                <w:szCs w:val="24"/>
              </w:rPr>
              <w:t xml:space="preserve">a fiscal </w:t>
            </w:r>
            <w:proofErr w:type="gramStart"/>
            <w:r w:rsidRPr="00DA7503">
              <w:rPr>
                <w:rFonts w:ascii="Arial" w:hAnsi="Arial" w:cs="Arial"/>
                <w:szCs w:val="24"/>
              </w:rPr>
              <w:t xml:space="preserve">audit </w:t>
            </w:r>
            <w:r>
              <w:rPr>
                <w:rFonts w:ascii="Arial" w:hAnsi="Arial" w:cs="Arial"/>
                <w:szCs w:val="24"/>
              </w:rPr>
              <w:t xml:space="preserve"> </w:t>
            </w:r>
            <w:r w:rsidRPr="00DA7503">
              <w:rPr>
                <w:rFonts w:ascii="Arial" w:hAnsi="Arial" w:cs="Arial"/>
                <w:szCs w:val="24"/>
              </w:rPr>
              <w:t>determination</w:t>
            </w:r>
            <w:proofErr w:type="gramEnd"/>
            <w:r w:rsidRPr="00DA7503">
              <w:rPr>
                <w:rFonts w:ascii="Arial" w:hAnsi="Arial" w:cs="Arial"/>
                <w:szCs w:val="24"/>
              </w:rPr>
              <w:t xml:space="preserve"> and resolution by </w:t>
            </w:r>
            <w:proofErr w:type="spellStart"/>
            <w:r>
              <w:rPr>
                <w:rFonts w:ascii="Arial" w:hAnsi="Arial" w:cs="Arial"/>
                <w:szCs w:val="24"/>
              </w:rPr>
              <w:t>CDA</w:t>
            </w:r>
            <w:proofErr w:type="spellEnd"/>
            <w:r>
              <w:rPr>
                <w:rFonts w:ascii="Arial" w:hAnsi="Arial" w:cs="Arial"/>
                <w:szCs w:val="24"/>
              </w:rPr>
              <w:t xml:space="preserve">. </w:t>
            </w:r>
            <w:r w:rsidRPr="00DA7503">
              <w:rPr>
                <w:rFonts w:ascii="Arial" w:hAnsi="Arial" w:cs="Arial"/>
                <w:szCs w:val="24"/>
              </w:rPr>
              <w:t xml:space="preserve"> [22</w:t>
            </w:r>
            <w:r>
              <w:rPr>
                <w:rFonts w:ascii="Arial" w:hAnsi="Arial" w:cs="Arial"/>
                <w:szCs w:val="24"/>
              </w:rPr>
              <w:t> </w:t>
            </w:r>
            <w:proofErr w:type="spellStart"/>
            <w:r w:rsidRPr="00DA7503">
              <w:rPr>
                <w:rFonts w:ascii="Arial" w:hAnsi="Arial" w:cs="Arial"/>
                <w:szCs w:val="24"/>
              </w:rPr>
              <w:t>CCR</w:t>
            </w:r>
            <w:proofErr w:type="spellEnd"/>
            <w:r>
              <w:rPr>
                <w:rFonts w:ascii="Arial" w:hAnsi="Arial" w:cs="Arial"/>
                <w:szCs w:val="24"/>
              </w:rPr>
              <w:t> </w:t>
            </w:r>
            <w:r w:rsidRPr="00DA7503">
              <w:rPr>
                <w:rFonts w:ascii="Arial" w:hAnsi="Arial" w:cs="Arial"/>
                <w:szCs w:val="24"/>
              </w:rPr>
              <w:t>7314(a)(7)]</w:t>
            </w:r>
          </w:p>
        </w:tc>
      </w:tr>
      <w:tr w:rsidR="004A662C" w:rsidRPr="00012344" w:rsidTr="000F228C">
        <w:trPr>
          <w:gridAfter w:val="2"/>
          <w:wAfter w:w="90" w:type="dxa"/>
        </w:trPr>
        <w:tc>
          <w:tcPr>
            <w:tcW w:w="630" w:type="dxa"/>
          </w:tcPr>
          <w:p w:rsidR="004A662C" w:rsidRDefault="004A662C" w:rsidP="000F228C">
            <w:pPr>
              <w:jc w:val="both"/>
              <w:rPr>
                <w:rFonts w:ascii="Arial" w:hAnsi="Arial" w:cs="Arial"/>
                <w:szCs w:val="24"/>
              </w:rPr>
            </w:pPr>
          </w:p>
        </w:tc>
        <w:tc>
          <w:tcPr>
            <w:tcW w:w="540" w:type="dxa"/>
            <w:gridSpan w:val="2"/>
          </w:tcPr>
          <w:p w:rsidR="004A662C" w:rsidRDefault="004A662C" w:rsidP="000F228C">
            <w:pPr>
              <w:jc w:val="both"/>
              <w:rPr>
                <w:rFonts w:ascii="Arial" w:hAnsi="Arial" w:cs="Arial"/>
                <w:szCs w:val="24"/>
              </w:rPr>
            </w:pPr>
            <w:r>
              <w:rPr>
                <w:rFonts w:ascii="Arial" w:hAnsi="Arial" w:cs="Arial"/>
                <w:szCs w:val="24"/>
              </w:rPr>
              <w:t>c.</w:t>
            </w:r>
          </w:p>
        </w:tc>
        <w:tc>
          <w:tcPr>
            <w:tcW w:w="8640" w:type="dxa"/>
          </w:tcPr>
          <w:p w:rsidR="004A662C" w:rsidRPr="004A662C" w:rsidRDefault="004A662C" w:rsidP="004A662C">
            <w:pPr>
              <w:suppressAutoHyphens/>
              <w:jc w:val="both"/>
              <w:rPr>
                <w:rFonts w:ascii="Arial" w:hAnsi="Arial" w:cs="Arial"/>
                <w:szCs w:val="24"/>
              </w:rPr>
            </w:pPr>
            <w:r w:rsidRPr="00DA7503">
              <w:rPr>
                <w:rFonts w:ascii="Arial" w:hAnsi="Arial" w:cs="Arial"/>
                <w:szCs w:val="24"/>
              </w:rPr>
              <w:t xml:space="preserve">Supplemental Title III and Title VII program funds allocated by the Administration on Aging to </w:t>
            </w:r>
            <w:proofErr w:type="spellStart"/>
            <w:r w:rsidRPr="00DA7503">
              <w:rPr>
                <w:rFonts w:ascii="Arial" w:hAnsi="Arial" w:cs="Arial"/>
                <w:szCs w:val="24"/>
              </w:rPr>
              <w:t>CDA</w:t>
            </w:r>
            <w:proofErr w:type="spellEnd"/>
            <w:r w:rsidRPr="00DA7503">
              <w:rPr>
                <w:rFonts w:ascii="Arial" w:hAnsi="Arial" w:cs="Arial"/>
                <w:szCs w:val="24"/>
              </w:rPr>
              <w:t xml:space="preserve"> as a result of the federal </w:t>
            </w:r>
            <w:proofErr w:type="spellStart"/>
            <w:r w:rsidRPr="00DA7503">
              <w:rPr>
                <w:rFonts w:ascii="Arial" w:hAnsi="Arial" w:cs="Arial"/>
                <w:szCs w:val="24"/>
              </w:rPr>
              <w:t>reallotment</w:t>
            </w:r>
            <w:proofErr w:type="spellEnd"/>
            <w:r w:rsidRPr="00DA7503">
              <w:rPr>
                <w:rFonts w:ascii="Arial" w:hAnsi="Arial" w:cs="Arial"/>
                <w:szCs w:val="24"/>
              </w:rPr>
              <w:t xml:space="preserve"> process</w:t>
            </w:r>
            <w:r>
              <w:rPr>
                <w:rFonts w:ascii="Arial" w:hAnsi="Arial" w:cs="Arial"/>
                <w:szCs w:val="24"/>
              </w:rPr>
              <w:t xml:space="preserve">. </w:t>
            </w:r>
            <w:r w:rsidRPr="00DA7503">
              <w:rPr>
                <w:rFonts w:ascii="Arial" w:hAnsi="Arial" w:cs="Arial"/>
                <w:szCs w:val="24"/>
              </w:rPr>
              <w:t xml:space="preserve"> [22</w:t>
            </w:r>
            <w:r>
              <w:rPr>
                <w:rFonts w:ascii="Arial" w:hAnsi="Arial" w:cs="Arial"/>
                <w:szCs w:val="24"/>
              </w:rPr>
              <w:t> </w:t>
            </w:r>
            <w:proofErr w:type="spellStart"/>
            <w:r w:rsidRPr="00DA7503">
              <w:rPr>
                <w:rFonts w:ascii="Arial" w:hAnsi="Arial" w:cs="Arial"/>
                <w:szCs w:val="24"/>
              </w:rPr>
              <w:t>CCR</w:t>
            </w:r>
            <w:proofErr w:type="spellEnd"/>
            <w:r>
              <w:rPr>
                <w:rFonts w:ascii="Arial" w:hAnsi="Arial" w:cs="Arial"/>
                <w:szCs w:val="24"/>
              </w:rPr>
              <w:t> </w:t>
            </w:r>
            <w:r w:rsidRPr="00DA7503">
              <w:rPr>
                <w:rFonts w:ascii="Arial" w:hAnsi="Arial" w:cs="Arial"/>
                <w:szCs w:val="24"/>
              </w:rPr>
              <w:t>7314(a)(8)]</w:t>
            </w:r>
          </w:p>
        </w:tc>
      </w:tr>
    </w:tbl>
    <w:p w:rsidR="00F35D62" w:rsidRPr="00012344" w:rsidRDefault="00F35D62" w:rsidP="000F0F31">
      <w:pPr>
        <w:pStyle w:val="Heading1"/>
        <w:jc w:val="both"/>
        <w:rPr>
          <w:b w:val="0"/>
          <w:sz w:val="24"/>
          <w:szCs w:val="24"/>
        </w:rPr>
      </w:pPr>
      <w:bookmarkStart w:id="0" w:name="_GoBack"/>
      <w:bookmarkEnd w:id="0"/>
    </w:p>
    <w:sectPr w:rsidR="00F35D62" w:rsidRPr="00012344" w:rsidSect="006F52CE">
      <w:footerReference w:type="even"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31" w:rsidRDefault="000F0F31">
      <w:r>
        <w:separator/>
      </w:r>
    </w:p>
  </w:endnote>
  <w:endnote w:type="continuationSeparator" w:id="0">
    <w:p w:rsidR="000F0F31" w:rsidRDefault="000F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31" w:rsidRDefault="000F0F31" w:rsidP="00E8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F31" w:rsidRDefault="000F0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31" w:rsidRDefault="000F0F31" w:rsidP="00E8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62C">
      <w:rPr>
        <w:rStyle w:val="PageNumber"/>
        <w:noProof/>
      </w:rPr>
      <w:t>7</w:t>
    </w:r>
    <w:r>
      <w:rPr>
        <w:rStyle w:val="PageNumber"/>
      </w:rPr>
      <w:fldChar w:fldCharType="end"/>
    </w:r>
  </w:p>
  <w:p w:rsidR="000F0F31" w:rsidRDefault="000F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31" w:rsidRDefault="000F0F31">
      <w:r>
        <w:separator/>
      </w:r>
    </w:p>
  </w:footnote>
  <w:footnote w:type="continuationSeparator" w:id="0">
    <w:p w:rsidR="000F0F31" w:rsidRDefault="000F0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4EE"/>
    <w:multiLevelType w:val="hybridMultilevel"/>
    <w:tmpl w:val="902EE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A61849"/>
    <w:multiLevelType w:val="hybridMultilevel"/>
    <w:tmpl w:val="C206D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B42760"/>
    <w:multiLevelType w:val="hybridMultilevel"/>
    <w:tmpl w:val="0E7E78B4"/>
    <w:lvl w:ilvl="0" w:tplc="DBFE3CA0">
      <w:start w:val="1"/>
      <w:numFmt w:val="bullet"/>
      <w:lvlText w:val=""/>
      <w:lvlJc w:val="left"/>
      <w:pPr>
        <w:tabs>
          <w:tab w:val="num" w:pos="288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1927A2E"/>
    <w:multiLevelType w:val="hybridMultilevel"/>
    <w:tmpl w:val="26FCEF9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74C63406"/>
    <w:multiLevelType w:val="hybridMultilevel"/>
    <w:tmpl w:val="0CAEEF96"/>
    <w:lvl w:ilvl="0" w:tplc="92809D84">
      <w:start w:val="1"/>
      <w:numFmt w:val="decimal"/>
      <w:lvlText w:val="%1."/>
      <w:lvlJc w:val="left"/>
      <w:pPr>
        <w:ind w:left="1800" w:hanging="360"/>
      </w:pPr>
      <w:rPr>
        <w:rFonts w:hint="default"/>
        <w:strike w:val="0"/>
        <w:color w:val="000000"/>
      </w:rPr>
    </w:lvl>
    <w:lvl w:ilvl="1" w:tplc="D8CA55F8">
      <w:start w:val="1"/>
      <w:numFmt w:val="lowerLetter"/>
      <w:lvlText w:val="%2."/>
      <w:lvlJc w:val="left"/>
      <w:pPr>
        <w:ind w:left="2520" w:hanging="360"/>
      </w:pPr>
      <w:rPr>
        <w:rFonts w:hint="default"/>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65A2FCA"/>
    <w:multiLevelType w:val="hybridMultilevel"/>
    <w:tmpl w:val="22B2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1"/>
    <w:rsid w:val="00007362"/>
    <w:rsid w:val="00012344"/>
    <w:rsid w:val="00032991"/>
    <w:rsid w:val="00071944"/>
    <w:rsid w:val="0009214C"/>
    <w:rsid w:val="000B0B1A"/>
    <w:rsid w:val="000C21D4"/>
    <w:rsid w:val="000C539C"/>
    <w:rsid w:val="000E5A11"/>
    <w:rsid w:val="000F0F31"/>
    <w:rsid w:val="000F228C"/>
    <w:rsid w:val="000F2AC3"/>
    <w:rsid w:val="00124333"/>
    <w:rsid w:val="00132660"/>
    <w:rsid w:val="00153E5E"/>
    <w:rsid w:val="00174868"/>
    <w:rsid w:val="00177CA6"/>
    <w:rsid w:val="001978CB"/>
    <w:rsid w:val="0025512F"/>
    <w:rsid w:val="00264153"/>
    <w:rsid w:val="00283584"/>
    <w:rsid w:val="00290EBE"/>
    <w:rsid w:val="002E636F"/>
    <w:rsid w:val="0033710E"/>
    <w:rsid w:val="003A24E8"/>
    <w:rsid w:val="003B0D32"/>
    <w:rsid w:val="003B6B39"/>
    <w:rsid w:val="003E1380"/>
    <w:rsid w:val="003E2FB3"/>
    <w:rsid w:val="003F386B"/>
    <w:rsid w:val="0040056B"/>
    <w:rsid w:val="004177DD"/>
    <w:rsid w:val="00426412"/>
    <w:rsid w:val="004510A3"/>
    <w:rsid w:val="00476CAE"/>
    <w:rsid w:val="004A1D17"/>
    <w:rsid w:val="004A662C"/>
    <w:rsid w:val="004D5C05"/>
    <w:rsid w:val="00511C33"/>
    <w:rsid w:val="00550A96"/>
    <w:rsid w:val="0055136D"/>
    <w:rsid w:val="00554D5B"/>
    <w:rsid w:val="00570A26"/>
    <w:rsid w:val="005753BB"/>
    <w:rsid w:val="005A725F"/>
    <w:rsid w:val="005B3CA1"/>
    <w:rsid w:val="005D41BE"/>
    <w:rsid w:val="005E4665"/>
    <w:rsid w:val="005E7909"/>
    <w:rsid w:val="005F319E"/>
    <w:rsid w:val="006010D0"/>
    <w:rsid w:val="006261A7"/>
    <w:rsid w:val="0063145C"/>
    <w:rsid w:val="006A4C59"/>
    <w:rsid w:val="006D39FA"/>
    <w:rsid w:val="006E3994"/>
    <w:rsid w:val="006E711E"/>
    <w:rsid w:val="006F52CE"/>
    <w:rsid w:val="007118F5"/>
    <w:rsid w:val="00721071"/>
    <w:rsid w:val="00747313"/>
    <w:rsid w:val="00750141"/>
    <w:rsid w:val="00757C1A"/>
    <w:rsid w:val="00760E6C"/>
    <w:rsid w:val="00765DC0"/>
    <w:rsid w:val="0077226E"/>
    <w:rsid w:val="007B4EA1"/>
    <w:rsid w:val="007C10DD"/>
    <w:rsid w:val="007D4DD7"/>
    <w:rsid w:val="00822F3F"/>
    <w:rsid w:val="00827558"/>
    <w:rsid w:val="00831D6A"/>
    <w:rsid w:val="00837241"/>
    <w:rsid w:val="00860388"/>
    <w:rsid w:val="00863113"/>
    <w:rsid w:val="00881AFB"/>
    <w:rsid w:val="008A6BA2"/>
    <w:rsid w:val="008B7442"/>
    <w:rsid w:val="008C6D27"/>
    <w:rsid w:val="009016E9"/>
    <w:rsid w:val="00901A47"/>
    <w:rsid w:val="009056B4"/>
    <w:rsid w:val="009249E9"/>
    <w:rsid w:val="00925775"/>
    <w:rsid w:val="00927CDA"/>
    <w:rsid w:val="0093345D"/>
    <w:rsid w:val="00972302"/>
    <w:rsid w:val="009A1D93"/>
    <w:rsid w:val="009D6881"/>
    <w:rsid w:val="009E042B"/>
    <w:rsid w:val="009E5958"/>
    <w:rsid w:val="009F5EDE"/>
    <w:rsid w:val="009F6DCE"/>
    <w:rsid w:val="00A31E0B"/>
    <w:rsid w:val="00A511EA"/>
    <w:rsid w:val="00A51833"/>
    <w:rsid w:val="00A62607"/>
    <w:rsid w:val="00AB136D"/>
    <w:rsid w:val="00AC53BA"/>
    <w:rsid w:val="00B201BD"/>
    <w:rsid w:val="00B226C0"/>
    <w:rsid w:val="00B75921"/>
    <w:rsid w:val="00B8308A"/>
    <w:rsid w:val="00B85476"/>
    <w:rsid w:val="00BB16D1"/>
    <w:rsid w:val="00BB3506"/>
    <w:rsid w:val="00BD2432"/>
    <w:rsid w:val="00BE3BD8"/>
    <w:rsid w:val="00BF3DDF"/>
    <w:rsid w:val="00C22347"/>
    <w:rsid w:val="00C23E87"/>
    <w:rsid w:val="00C304C1"/>
    <w:rsid w:val="00C45A81"/>
    <w:rsid w:val="00C634D6"/>
    <w:rsid w:val="00C83A00"/>
    <w:rsid w:val="00CB0B4B"/>
    <w:rsid w:val="00CB4578"/>
    <w:rsid w:val="00CB581D"/>
    <w:rsid w:val="00D02475"/>
    <w:rsid w:val="00D10E12"/>
    <w:rsid w:val="00D33124"/>
    <w:rsid w:val="00D6565E"/>
    <w:rsid w:val="00D70AD1"/>
    <w:rsid w:val="00D84625"/>
    <w:rsid w:val="00D96F3C"/>
    <w:rsid w:val="00DC51A3"/>
    <w:rsid w:val="00E04386"/>
    <w:rsid w:val="00E57C91"/>
    <w:rsid w:val="00E65388"/>
    <w:rsid w:val="00E756B1"/>
    <w:rsid w:val="00E86B55"/>
    <w:rsid w:val="00E92505"/>
    <w:rsid w:val="00EA6B7C"/>
    <w:rsid w:val="00EA6E80"/>
    <w:rsid w:val="00EE057C"/>
    <w:rsid w:val="00EF222F"/>
    <w:rsid w:val="00EF511D"/>
    <w:rsid w:val="00F1567D"/>
    <w:rsid w:val="00F22FB5"/>
    <w:rsid w:val="00F27B9E"/>
    <w:rsid w:val="00F35D62"/>
    <w:rsid w:val="00F52C04"/>
    <w:rsid w:val="00F57A1D"/>
    <w:rsid w:val="00F63F2F"/>
    <w:rsid w:val="00FB094D"/>
    <w:rsid w:val="00FD152C"/>
    <w:rsid w:val="00FF4960"/>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41"/>
    <w:rPr>
      <w:rFonts w:ascii="New York" w:hAnsi="New York"/>
      <w:sz w:val="24"/>
    </w:rPr>
  </w:style>
  <w:style w:type="paragraph" w:styleId="Heading1">
    <w:name w:val="heading 1"/>
    <w:basedOn w:val="Normal"/>
    <w:next w:val="Normal"/>
    <w:qFormat/>
    <w:rsid w:val="00711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51A3"/>
    <w:pPr>
      <w:keepNext/>
      <w:widowControl w:val="0"/>
      <w:jc w:val="center"/>
      <w:outlineLvl w:val="1"/>
    </w:pPr>
    <w:rPr>
      <w:rFonts w:ascii="Geneva" w:hAnsi="Geneva"/>
      <w:b/>
      <w:u w:val="single"/>
    </w:rPr>
  </w:style>
  <w:style w:type="paragraph" w:styleId="Heading3">
    <w:name w:val="heading 3"/>
    <w:basedOn w:val="Normal"/>
    <w:next w:val="Normal"/>
    <w:qFormat/>
    <w:rsid w:val="006314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141"/>
    <w:pPr>
      <w:widowControl w:val="0"/>
      <w:jc w:val="both"/>
    </w:pPr>
    <w:rPr>
      <w:rFonts w:ascii="Geneva" w:hAnsi="Geneva"/>
    </w:rPr>
  </w:style>
  <w:style w:type="paragraph" w:styleId="BodyTextIndent3">
    <w:name w:val="Body Text Indent 3"/>
    <w:basedOn w:val="Normal"/>
    <w:rsid w:val="00750141"/>
    <w:pPr>
      <w:widowControl w:val="0"/>
      <w:ind w:left="720" w:firstLine="720"/>
    </w:pPr>
    <w:rPr>
      <w:rFonts w:ascii="Arial" w:hAnsi="Arial" w:cs="Arial"/>
    </w:rPr>
  </w:style>
  <w:style w:type="paragraph" w:styleId="Footer">
    <w:name w:val="footer"/>
    <w:basedOn w:val="Normal"/>
    <w:rsid w:val="00DC51A3"/>
    <w:pPr>
      <w:tabs>
        <w:tab w:val="center" w:pos="4320"/>
        <w:tab w:val="right" w:pos="8640"/>
      </w:tabs>
    </w:pPr>
  </w:style>
  <w:style w:type="paragraph" w:styleId="BalloonText">
    <w:name w:val="Balloon Text"/>
    <w:basedOn w:val="Normal"/>
    <w:semiHidden/>
    <w:rsid w:val="0063145C"/>
    <w:rPr>
      <w:rFonts w:ascii="Tahoma" w:hAnsi="Tahoma" w:cs="Tahoma"/>
      <w:sz w:val="16"/>
      <w:szCs w:val="16"/>
    </w:rPr>
  </w:style>
  <w:style w:type="character" w:styleId="PageNumber">
    <w:name w:val="page number"/>
    <w:basedOn w:val="DefaultParagraphFont"/>
    <w:rsid w:val="0033710E"/>
  </w:style>
  <w:style w:type="paragraph" w:styleId="Header">
    <w:name w:val="header"/>
    <w:basedOn w:val="Normal"/>
    <w:rsid w:val="005D41BE"/>
    <w:pPr>
      <w:tabs>
        <w:tab w:val="center" w:pos="4320"/>
        <w:tab w:val="right" w:pos="8640"/>
      </w:tabs>
    </w:pPr>
  </w:style>
  <w:style w:type="character" w:styleId="Hyperlink">
    <w:name w:val="Hyperlink"/>
    <w:rsid w:val="00972302"/>
    <w:rPr>
      <w:rFonts w:cs="Times New Roman"/>
      <w:color w:val="0000FF"/>
      <w:u w:val="single"/>
    </w:rPr>
  </w:style>
  <w:style w:type="paragraph" w:styleId="ListParagraph">
    <w:name w:val="List Paragraph"/>
    <w:basedOn w:val="Normal"/>
    <w:uiPriority w:val="34"/>
    <w:qFormat/>
    <w:rsid w:val="00E04386"/>
    <w:pPr>
      <w:ind w:left="720"/>
      <w:contextualSpacing/>
    </w:pPr>
    <w:rPr>
      <w:rFonts w:ascii="Geneva" w:hAnsi="Geneva"/>
    </w:rPr>
  </w:style>
  <w:style w:type="character" w:customStyle="1" w:styleId="Heading2Char">
    <w:name w:val="Heading 2 Char"/>
    <w:basedOn w:val="DefaultParagraphFont"/>
    <w:link w:val="Heading2"/>
    <w:rsid w:val="00E756B1"/>
    <w:rPr>
      <w:rFonts w:ascii="Geneva" w:hAnsi="Genev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41"/>
    <w:rPr>
      <w:rFonts w:ascii="New York" w:hAnsi="New York"/>
      <w:sz w:val="24"/>
    </w:rPr>
  </w:style>
  <w:style w:type="paragraph" w:styleId="Heading1">
    <w:name w:val="heading 1"/>
    <w:basedOn w:val="Normal"/>
    <w:next w:val="Normal"/>
    <w:qFormat/>
    <w:rsid w:val="00711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C51A3"/>
    <w:pPr>
      <w:keepNext/>
      <w:widowControl w:val="0"/>
      <w:jc w:val="center"/>
      <w:outlineLvl w:val="1"/>
    </w:pPr>
    <w:rPr>
      <w:rFonts w:ascii="Geneva" w:hAnsi="Geneva"/>
      <w:b/>
      <w:u w:val="single"/>
    </w:rPr>
  </w:style>
  <w:style w:type="paragraph" w:styleId="Heading3">
    <w:name w:val="heading 3"/>
    <w:basedOn w:val="Normal"/>
    <w:next w:val="Normal"/>
    <w:qFormat/>
    <w:rsid w:val="006314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141"/>
    <w:pPr>
      <w:widowControl w:val="0"/>
      <w:jc w:val="both"/>
    </w:pPr>
    <w:rPr>
      <w:rFonts w:ascii="Geneva" w:hAnsi="Geneva"/>
    </w:rPr>
  </w:style>
  <w:style w:type="paragraph" w:styleId="BodyTextIndent3">
    <w:name w:val="Body Text Indent 3"/>
    <w:basedOn w:val="Normal"/>
    <w:rsid w:val="00750141"/>
    <w:pPr>
      <w:widowControl w:val="0"/>
      <w:ind w:left="720" w:firstLine="720"/>
    </w:pPr>
    <w:rPr>
      <w:rFonts w:ascii="Arial" w:hAnsi="Arial" w:cs="Arial"/>
    </w:rPr>
  </w:style>
  <w:style w:type="paragraph" w:styleId="Footer">
    <w:name w:val="footer"/>
    <w:basedOn w:val="Normal"/>
    <w:rsid w:val="00DC51A3"/>
    <w:pPr>
      <w:tabs>
        <w:tab w:val="center" w:pos="4320"/>
        <w:tab w:val="right" w:pos="8640"/>
      </w:tabs>
    </w:pPr>
  </w:style>
  <w:style w:type="paragraph" w:styleId="BalloonText">
    <w:name w:val="Balloon Text"/>
    <w:basedOn w:val="Normal"/>
    <w:semiHidden/>
    <w:rsid w:val="0063145C"/>
    <w:rPr>
      <w:rFonts w:ascii="Tahoma" w:hAnsi="Tahoma" w:cs="Tahoma"/>
      <w:sz w:val="16"/>
      <w:szCs w:val="16"/>
    </w:rPr>
  </w:style>
  <w:style w:type="character" w:styleId="PageNumber">
    <w:name w:val="page number"/>
    <w:basedOn w:val="DefaultParagraphFont"/>
    <w:rsid w:val="0033710E"/>
  </w:style>
  <w:style w:type="paragraph" w:styleId="Header">
    <w:name w:val="header"/>
    <w:basedOn w:val="Normal"/>
    <w:rsid w:val="005D41BE"/>
    <w:pPr>
      <w:tabs>
        <w:tab w:val="center" w:pos="4320"/>
        <w:tab w:val="right" w:pos="8640"/>
      </w:tabs>
    </w:pPr>
  </w:style>
  <w:style w:type="character" w:styleId="Hyperlink">
    <w:name w:val="Hyperlink"/>
    <w:rsid w:val="00972302"/>
    <w:rPr>
      <w:rFonts w:cs="Times New Roman"/>
      <w:color w:val="0000FF"/>
      <w:u w:val="single"/>
    </w:rPr>
  </w:style>
  <w:style w:type="paragraph" w:styleId="ListParagraph">
    <w:name w:val="List Paragraph"/>
    <w:basedOn w:val="Normal"/>
    <w:uiPriority w:val="34"/>
    <w:qFormat/>
    <w:rsid w:val="00E04386"/>
    <w:pPr>
      <w:ind w:left="720"/>
      <w:contextualSpacing/>
    </w:pPr>
    <w:rPr>
      <w:rFonts w:ascii="Geneva" w:hAnsi="Geneva"/>
    </w:rPr>
  </w:style>
  <w:style w:type="character" w:customStyle="1" w:styleId="Heading2Char">
    <w:name w:val="Heading 2 Char"/>
    <w:basedOn w:val="DefaultParagraphFont"/>
    <w:link w:val="Heading2"/>
    <w:rsid w:val="00E756B1"/>
    <w:rPr>
      <w:rFonts w:ascii="Geneva" w:hAnsi="Genev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hr.ca.gov/employees/Pages/travel-lodging-reimbursemen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hr.ca.gov/employees/Pages/travel-meal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hr.ca.gov/employees/Pages/travel-personal-vehicle.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9C18-2265-4CAC-B2EC-D758E422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2588</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TOTAL TRANSPORTATION: $ 60,700</vt:lpstr>
    </vt:vector>
  </TitlesOfParts>
  <Company>San Mateo Health Services</Company>
  <LinksUpToDate>false</LinksUpToDate>
  <CharactersWithSpaces>17848</CharactersWithSpaces>
  <SharedDoc>false</SharedDoc>
  <HLinks>
    <vt:vector size="18" baseType="variant">
      <vt:variant>
        <vt:i4>4521999</vt:i4>
      </vt:variant>
      <vt:variant>
        <vt:i4>6</vt:i4>
      </vt:variant>
      <vt:variant>
        <vt:i4>0</vt:i4>
      </vt:variant>
      <vt:variant>
        <vt:i4>5</vt:i4>
      </vt:variant>
      <vt:variant>
        <vt:lpwstr>http://www.dpa.ca.gov/personnel-policies/travel/short-term-travel.htm</vt:lpwstr>
      </vt:variant>
      <vt:variant>
        <vt:lpwstr/>
      </vt:variant>
      <vt:variant>
        <vt:i4>1507404</vt:i4>
      </vt:variant>
      <vt:variant>
        <vt:i4>3</vt:i4>
      </vt:variant>
      <vt:variant>
        <vt:i4>0</vt:i4>
      </vt:variant>
      <vt:variant>
        <vt:i4>5</vt:i4>
      </vt:variant>
      <vt:variant>
        <vt:lpwstr>http://www.dpa.ca.gov/personnel-policies/travel/meals-and-incidentals.htm</vt:lpwstr>
      </vt:variant>
      <vt:variant>
        <vt:lpwstr/>
      </vt:variant>
      <vt:variant>
        <vt:i4>1966156</vt:i4>
      </vt:variant>
      <vt:variant>
        <vt:i4>0</vt:i4>
      </vt:variant>
      <vt:variant>
        <vt:i4>0</vt:i4>
      </vt:variant>
      <vt:variant>
        <vt:i4>5</vt:i4>
      </vt:variant>
      <vt:variant>
        <vt:lpwstr>http://www.dpa.ca.gov/personnelpolicies/travel/personal-vehicle-mileage-reimbursement.htm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TRANSPORTATION: $ 60,700</dc:title>
  <dc:creator>Marie Shank (WHSTC11096A)</dc:creator>
  <cp:lastModifiedBy>Michelle Makino</cp:lastModifiedBy>
  <cp:revision>4</cp:revision>
  <cp:lastPrinted>2012-11-02T17:37:00Z</cp:lastPrinted>
  <dcterms:created xsi:type="dcterms:W3CDTF">2016-11-22T02:33:00Z</dcterms:created>
  <dcterms:modified xsi:type="dcterms:W3CDTF">2016-12-06T01:12:00Z</dcterms:modified>
</cp:coreProperties>
</file>